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242" w:rsidRDefault="007510E0" w:rsidP="00560E6C">
      <w:pPr>
        <w:pStyle w:val="SAASubjectHeading"/>
      </w:pPr>
      <w:r>
        <w:t>2019</w:t>
      </w:r>
      <w:r w:rsidR="00634151">
        <w:t xml:space="preserve"> </w:t>
      </w:r>
      <w:r w:rsidR="000A2396">
        <w:t>Philosophy</w:t>
      </w:r>
      <w:r w:rsidR="00201242" w:rsidRPr="00201242">
        <w:t xml:space="preserve"> Subject Assessment Advice</w:t>
      </w:r>
    </w:p>
    <w:p w:rsidR="00201242" w:rsidRDefault="00201242" w:rsidP="00560E6C">
      <w:pPr>
        <w:pStyle w:val="SAAHeading2"/>
      </w:pPr>
      <w:r>
        <w:t>Overview</w:t>
      </w:r>
    </w:p>
    <w:p w:rsidR="00201242" w:rsidRDefault="00201242" w:rsidP="00560E6C">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rsidR="00201242" w:rsidRDefault="00201242" w:rsidP="00560E6C">
      <w:pPr>
        <w:pStyle w:val="SAABodytext"/>
      </w:pPr>
      <w:r>
        <w:t>Teachers should refer to the subject outline for specifications on content and learning requirements, and to the subject operational information for operational matters and key dates.</w:t>
      </w:r>
    </w:p>
    <w:p w:rsidR="00201242" w:rsidRDefault="00201242" w:rsidP="00560E6C">
      <w:pPr>
        <w:pStyle w:val="SAAHeading1"/>
      </w:pPr>
      <w:r>
        <w:t>School Assessment</w:t>
      </w:r>
    </w:p>
    <w:p w:rsidR="00201242" w:rsidRDefault="00201242" w:rsidP="00560E6C">
      <w:pPr>
        <w:pStyle w:val="SAAHeading2afterH1"/>
      </w:pPr>
      <w:r w:rsidRPr="00201242">
        <w:t>Assessment</w:t>
      </w:r>
      <w:r w:rsidR="000A2396">
        <w:t xml:space="preserve"> Type 1: Argument Analysis</w:t>
      </w:r>
    </w:p>
    <w:p w:rsidR="000A2396" w:rsidRPr="00003C11" w:rsidRDefault="000A2396" w:rsidP="00560E6C">
      <w:pPr>
        <w:pStyle w:val="SAABodytext"/>
      </w:pPr>
      <w:r w:rsidRPr="00003C11">
        <w:t>Students apply their knowledge of reasoning and argument in identifying and analysing the arguments of others. They provide evidence and reasons to support or refute counter arguments. For this assessment type, students provide evidence of their learning primarily in relation to the following assessment design criteria:</w:t>
      </w:r>
    </w:p>
    <w:p w:rsidR="000A2396" w:rsidRPr="00560E6C" w:rsidRDefault="000A2396" w:rsidP="00560E6C">
      <w:pPr>
        <w:pStyle w:val="SAABullets"/>
      </w:pPr>
      <w:r w:rsidRPr="00560E6C">
        <w:t>reasoning and argument</w:t>
      </w:r>
    </w:p>
    <w:p w:rsidR="000A2396" w:rsidRPr="00560E6C" w:rsidRDefault="000A2396" w:rsidP="00560E6C">
      <w:pPr>
        <w:pStyle w:val="SAABullets"/>
      </w:pPr>
      <w:r w:rsidRPr="00560E6C">
        <w:t>critical analysis</w:t>
      </w:r>
    </w:p>
    <w:p w:rsidR="000A2396" w:rsidRPr="00560E6C" w:rsidRDefault="000A2396" w:rsidP="00560E6C">
      <w:pPr>
        <w:pStyle w:val="SAABullets"/>
      </w:pPr>
      <w:r w:rsidRPr="00560E6C">
        <w:t>communication</w:t>
      </w:r>
    </w:p>
    <w:p w:rsidR="00503D5E" w:rsidRPr="000C09B3" w:rsidRDefault="000C09B3" w:rsidP="00560E6C">
      <w:pPr>
        <w:pStyle w:val="SAABodytext"/>
      </w:pPr>
      <w:r w:rsidRPr="000C09B3">
        <w:t xml:space="preserve">Moderators noted </w:t>
      </w:r>
      <w:proofErr w:type="gramStart"/>
      <w:r w:rsidRPr="000C09B3">
        <w:t>the majority of</w:t>
      </w:r>
      <w:proofErr w:type="gramEnd"/>
      <w:r w:rsidRPr="000C09B3">
        <w:t xml:space="preserve"> </w:t>
      </w:r>
      <w:r w:rsidR="00503D5E" w:rsidRPr="000C09B3">
        <w:t xml:space="preserve">responses </w:t>
      </w:r>
      <w:r w:rsidR="00225D7C">
        <w:t>were</w:t>
      </w:r>
      <w:r w:rsidR="00503D5E" w:rsidRPr="000C09B3">
        <w:t xml:space="preserve"> the same as for </w:t>
      </w:r>
      <w:r w:rsidRPr="000C09B3">
        <w:t>2018.</w:t>
      </w:r>
    </w:p>
    <w:p w:rsidR="00201242" w:rsidRDefault="00201242" w:rsidP="00560E6C">
      <w:pPr>
        <w:pStyle w:val="SAABodytextitalics"/>
      </w:pPr>
      <w:r>
        <w:t>The more successful responses commonly:</w:t>
      </w:r>
    </w:p>
    <w:p w:rsidR="000A2396" w:rsidRDefault="000A2396" w:rsidP="00560E6C">
      <w:pPr>
        <w:pStyle w:val="SAABullets"/>
      </w:pPr>
      <w:r>
        <w:t xml:space="preserve">included the context and purpose </w:t>
      </w:r>
      <w:r w:rsidR="00560E6C">
        <w:t>of the arguments to be analysed</w:t>
      </w:r>
    </w:p>
    <w:p w:rsidR="000A2396" w:rsidRDefault="000A2396" w:rsidP="00560E6C">
      <w:pPr>
        <w:pStyle w:val="SAABullets"/>
      </w:pPr>
      <w:r>
        <w:t xml:space="preserve">included the </w:t>
      </w:r>
      <w:r w:rsidR="00225D7C">
        <w:t>s</w:t>
      </w:r>
      <w:r>
        <w:t xml:space="preserve">tandard </w:t>
      </w:r>
      <w:r w:rsidR="00225D7C">
        <w:t>f</w:t>
      </w:r>
      <w:r>
        <w:t>orm of the argument/s that were to be analysed in detail</w:t>
      </w:r>
    </w:p>
    <w:p w:rsidR="000A2396" w:rsidRDefault="000A2396" w:rsidP="00560E6C">
      <w:pPr>
        <w:pStyle w:val="SAABullets"/>
      </w:pPr>
      <w:r>
        <w:t>used the appropriate argument analysis terminology depending on whether the argument being analysed required the terminology for deductive arguments or inductive arguments</w:t>
      </w:r>
    </w:p>
    <w:p w:rsidR="000A2396" w:rsidRDefault="000A2396" w:rsidP="00560E6C">
      <w:pPr>
        <w:pStyle w:val="SAABullets"/>
      </w:pPr>
      <w:r>
        <w:t>showed a perceptive approach to critical analysis by going beyond labelling the parts of the argument being discussed.</w:t>
      </w:r>
    </w:p>
    <w:p w:rsidR="00225D7C" w:rsidRDefault="00225D7C" w:rsidP="00560E6C">
      <w:pPr>
        <w:pStyle w:val="SAABodytextitalics"/>
      </w:pPr>
      <w:r>
        <w:t>The less successful responses commonly:</w:t>
      </w:r>
    </w:p>
    <w:p w:rsidR="00225D7C" w:rsidRPr="000630CC" w:rsidRDefault="00225D7C" w:rsidP="00560E6C">
      <w:pPr>
        <w:pStyle w:val="SAABullets"/>
      </w:pPr>
      <w:r w:rsidRPr="000C09B3">
        <w:t>inaccurately used th</w:t>
      </w:r>
      <w:r>
        <w:t xml:space="preserve">e argument analysis term </w:t>
      </w:r>
      <w:r w:rsidR="00021061">
        <w:t>‘</w:t>
      </w:r>
      <w:r>
        <w:t>sound</w:t>
      </w:r>
      <w:r w:rsidR="00021061">
        <w:t>’</w:t>
      </w:r>
      <w:r>
        <w:t xml:space="preserve">. This term should be used in relation to </w:t>
      </w:r>
      <w:r w:rsidR="00021061">
        <w:t>d</w:t>
      </w:r>
      <w:r>
        <w:t>eductive arguments. It requires two criteria to be present – valid form (e.g. classic successful deductive pattern) and true premises</w:t>
      </w:r>
    </w:p>
    <w:p w:rsidR="00225D7C" w:rsidRPr="00561FE8" w:rsidRDefault="00225D7C" w:rsidP="00560E6C">
      <w:pPr>
        <w:pStyle w:val="SAABullets"/>
      </w:pPr>
      <w:r w:rsidRPr="000C09B3">
        <w:t>inaccurately used the</w:t>
      </w:r>
      <w:r w:rsidRPr="00561FE8">
        <w:t xml:space="preserve"> term </w:t>
      </w:r>
      <w:r w:rsidR="00021061">
        <w:t>‘</w:t>
      </w:r>
      <w:r w:rsidRPr="00561FE8">
        <w:t>cogent</w:t>
      </w:r>
      <w:r w:rsidR="00021061">
        <w:t>’</w:t>
      </w:r>
      <w:r w:rsidRPr="00561FE8">
        <w:t xml:space="preserve"> which is a term used for Inductive arguments. This term also has two criteria: </w:t>
      </w:r>
      <w:r>
        <w:t>t</w:t>
      </w:r>
      <w:r w:rsidRPr="00561FE8">
        <w:t>rue premises and strong (i.e. premises have a</w:t>
      </w:r>
      <w:r w:rsidR="00560E6C">
        <w:t xml:space="preserve"> strong link to the conclusion)</w:t>
      </w:r>
    </w:p>
    <w:p w:rsidR="00560E6C" w:rsidRDefault="00560E6C" w:rsidP="004F659D">
      <w:pPr>
        <w:pStyle w:val="SAABullets"/>
        <w:sectPr w:rsidR="00560E6C" w:rsidSect="00131B77">
          <w:footerReference w:type="default" r:id="rId9"/>
          <w:headerReference w:type="first" r:id="rId10"/>
          <w:footerReference w:type="first" r:id="rId11"/>
          <w:pgSz w:w="11906" w:h="16838"/>
          <w:pgMar w:top="2127" w:right="1133" w:bottom="1440" w:left="1440" w:header="708" w:footer="708" w:gutter="0"/>
          <w:cols w:space="708"/>
          <w:titlePg/>
          <w:docGrid w:linePitch="360"/>
        </w:sectPr>
      </w:pPr>
    </w:p>
    <w:p w:rsidR="00225D7C" w:rsidRDefault="00225D7C" w:rsidP="00560E6C">
      <w:pPr>
        <w:pStyle w:val="SAABullets"/>
      </w:pPr>
      <w:r>
        <w:lastRenderedPageBreak/>
        <w:t xml:space="preserve">omitted to explore whether a premise could be considered true or not. </w:t>
      </w:r>
      <w:r w:rsidRPr="00561FE8">
        <w:t xml:space="preserve">This is important to establish as it has such an impact on being able to apply the terms sound or cogent. </w:t>
      </w:r>
      <w:r>
        <w:t xml:space="preserve">This analysis also feeds into the student’s ability to generate marks in the critical analysis section of the </w:t>
      </w:r>
      <w:r w:rsidRPr="00561FE8">
        <w:t xml:space="preserve">perceptive analysis </w:t>
      </w:r>
      <w:r>
        <w:t>performance standards</w:t>
      </w:r>
    </w:p>
    <w:p w:rsidR="00560E6C" w:rsidRPr="00B80535" w:rsidRDefault="00560E6C" w:rsidP="00560E6C">
      <w:pPr>
        <w:pStyle w:val="SAABullets"/>
      </w:pPr>
      <w:r>
        <w:t>discussed the whole text in general terms rather than analysing one to three arguments more thoroughly.</w:t>
      </w:r>
    </w:p>
    <w:p w:rsidR="00225D7C" w:rsidRPr="00503D5E" w:rsidRDefault="00225D7C" w:rsidP="00560E6C">
      <w:pPr>
        <w:pStyle w:val="SAAHeading2"/>
      </w:pPr>
      <w:r>
        <w:t>Assessment Type 2: Issues Analysis</w:t>
      </w:r>
    </w:p>
    <w:p w:rsidR="00225D7C" w:rsidRPr="001243FF" w:rsidRDefault="00225D7C" w:rsidP="00560E6C">
      <w:pPr>
        <w:pStyle w:val="SAABodytext"/>
      </w:pPr>
      <w:r w:rsidRPr="001243FF">
        <w:t>Students undertake three issues analysis assessments, one for each of the key areas of ethics, epistemology, and metaphysics. Students identify:</w:t>
      </w:r>
    </w:p>
    <w:p w:rsidR="00225D7C" w:rsidRPr="001243FF" w:rsidRDefault="00225D7C" w:rsidP="00560E6C">
      <w:pPr>
        <w:pStyle w:val="SAABullets"/>
      </w:pPr>
      <w:r>
        <w:t xml:space="preserve">why the </w:t>
      </w:r>
      <w:r w:rsidRPr="001243FF">
        <w:t xml:space="preserve">chosen </w:t>
      </w:r>
      <w:r>
        <w:t xml:space="preserve">issue </w:t>
      </w:r>
      <w:r w:rsidRPr="001243FF">
        <w:t xml:space="preserve">is a philosophical </w:t>
      </w:r>
      <w:proofErr w:type="gramStart"/>
      <w:r w:rsidRPr="001243FF">
        <w:t>issue</w:t>
      </w:r>
      <w:proofErr w:type="gramEnd"/>
    </w:p>
    <w:p w:rsidR="00225D7C" w:rsidRDefault="00225D7C" w:rsidP="00560E6C">
      <w:pPr>
        <w:pStyle w:val="SAABullets"/>
      </w:pPr>
      <w:r w:rsidRPr="001243FF">
        <w:t>different responses to the philosophical issue</w:t>
      </w:r>
    </w:p>
    <w:p w:rsidR="00225D7C" w:rsidRPr="001243FF" w:rsidRDefault="00225D7C" w:rsidP="00560E6C">
      <w:pPr>
        <w:pStyle w:val="SAABullets"/>
      </w:pPr>
      <w:r w:rsidRPr="001243FF">
        <w:t>what position they will take in response to the philosophical issue</w:t>
      </w:r>
    </w:p>
    <w:p w:rsidR="00225D7C" w:rsidRPr="001243FF" w:rsidRDefault="00225D7C" w:rsidP="00560E6C">
      <w:pPr>
        <w:pStyle w:val="SAABullets"/>
      </w:pPr>
      <w:r w:rsidRPr="001243FF">
        <w:t xml:space="preserve">a justifiable defence for the position </w:t>
      </w:r>
      <w:r>
        <w:t xml:space="preserve">they </w:t>
      </w:r>
      <w:proofErr w:type="gramStart"/>
      <w:r>
        <w:t>have</w:t>
      </w:r>
      <w:proofErr w:type="gramEnd"/>
      <w:r>
        <w:t xml:space="preserve"> </w:t>
      </w:r>
      <w:r w:rsidRPr="001243FF">
        <w:t>taken</w:t>
      </w:r>
    </w:p>
    <w:p w:rsidR="00225D7C" w:rsidRPr="001243FF" w:rsidRDefault="00225D7C" w:rsidP="00560E6C">
      <w:pPr>
        <w:pStyle w:val="SAABullets"/>
      </w:pPr>
      <w:r w:rsidRPr="001243FF">
        <w:t>how they will communicate this position to others.</w:t>
      </w:r>
    </w:p>
    <w:p w:rsidR="00225D7C" w:rsidRPr="001243FF" w:rsidRDefault="00225D7C" w:rsidP="00560E6C">
      <w:pPr>
        <w:pStyle w:val="SAABodytext"/>
      </w:pPr>
      <w:r w:rsidRPr="001243FF">
        <w:t>For this assessment type, students provide evidence of their learning primarily in relation to the following assessment design criteria:</w:t>
      </w:r>
    </w:p>
    <w:p w:rsidR="00225D7C" w:rsidRPr="001243FF" w:rsidRDefault="00225D7C" w:rsidP="00560E6C">
      <w:pPr>
        <w:pStyle w:val="SAABullets"/>
      </w:pPr>
      <w:r w:rsidRPr="001243FF">
        <w:t>knowledge and understanding</w:t>
      </w:r>
    </w:p>
    <w:p w:rsidR="00225D7C" w:rsidRPr="001243FF" w:rsidRDefault="00225D7C" w:rsidP="00560E6C">
      <w:pPr>
        <w:pStyle w:val="SAABullets"/>
      </w:pPr>
      <w:r w:rsidRPr="001243FF">
        <w:t>reasoning and argument</w:t>
      </w:r>
    </w:p>
    <w:p w:rsidR="00225D7C" w:rsidRPr="001243FF" w:rsidRDefault="00225D7C" w:rsidP="00560E6C">
      <w:pPr>
        <w:pStyle w:val="SAABullets"/>
      </w:pPr>
      <w:r>
        <w:t>communication</w:t>
      </w:r>
      <w:r w:rsidR="00021061">
        <w:t>.</w:t>
      </w:r>
    </w:p>
    <w:p w:rsidR="00225D7C" w:rsidRPr="000C09B3" w:rsidRDefault="00225D7C" w:rsidP="00560E6C">
      <w:pPr>
        <w:pStyle w:val="SAABodytext"/>
      </w:pPr>
      <w:r w:rsidRPr="000C09B3">
        <w:t xml:space="preserve">Moderators noted </w:t>
      </w:r>
      <w:proofErr w:type="gramStart"/>
      <w:r w:rsidRPr="000C09B3">
        <w:t>the majority of</w:t>
      </w:r>
      <w:proofErr w:type="gramEnd"/>
      <w:r w:rsidRPr="000C09B3">
        <w:t xml:space="preserve"> responses are the same as for 2018.</w:t>
      </w:r>
    </w:p>
    <w:p w:rsidR="00225D7C" w:rsidRPr="001243FF" w:rsidRDefault="00225D7C" w:rsidP="00560E6C">
      <w:pPr>
        <w:pStyle w:val="SAABodytextitalics"/>
      </w:pPr>
      <w:r>
        <w:t>The more successful responses commonly:</w:t>
      </w:r>
    </w:p>
    <w:p w:rsidR="00225D7C" w:rsidRPr="001243FF" w:rsidRDefault="00225D7C" w:rsidP="00560E6C">
      <w:pPr>
        <w:pStyle w:val="SAABullets"/>
      </w:pPr>
      <w:r>
        <w:t>a</w:t>
      </w:r>
      <w:r w:rsidRPr="001243FF">
        <w:t>nalysed</w:t>
      </w:r>
      <w:r>
        <w:t xml:space="preserve"> </w:t>
      </w:r>
      <w:r w:rsidRPr="001243FF">
        <w:t>issue</w:t>
      </w:r>
      <w:r>
        <w:t>s</w:t>
      </w:r>
      <w:r w:rsidRPr="001243FF">
        <w:t xml:space="preserve"> from the point of view of </w:t>
      </w:r>
      <w:proofErr w:type="gramStart"/>
      <w:r w:rsidRPr="001243FF">
        <w:t>a number of</w:t>
      </w:r>
      <w:proofErr w:type="gramEnd"/>
      <w:r w:rsidRPr="001243FF">
        <w:t xml:space="preserve"> different philoso</w:t>
      </w:r>
      <w:r>
        <w:t xml:space="preserve">phers or positions allowing </w:t>
      </w:r>
      <w:r w:rsidRPr="001243FF">
        <w:t xml:space="preserve">students to demonstrate </w:t>
      </w:r>
      <w:r>
        <w:t>evidence of their k</w:t>
      </w:r>
      <w:r w:rsidRPr="001243FF">
        <w:t xml:space="preserve">nowledge and </w:t>
      </w:r>
      <w:r>
        <w:t>understanding more effectively</w:t>
      </w:r>
    </w:p>
    <w:p w:rsidR="00225D7C" w:rsidRPr="001243FF" w:rsidRDefault="00225D7C" w:rsidP="00560E6C">
      <w:pPr>
        <w:pStyle w:val="SAABullets"/>
      </w:pPr>
      <w:r>
        <w:t>d</w:t>
      </w:r>
      <w:r w:rsidRPr="001243FF">
        <w:t>emonstrated</w:t>
      </w:r>
      <w:r>
        <w:t xml:space="preserve"> evidence of their learning in the reasoning and a</w:t>
      </w:r>
      <w:r w:rsidRPr="001243FF">
        <w:t xml:space="preserve">rgument </w:t>
      </w:r>
      <w:r>
        <w:t>criterion</w:t>
      </w:r>
      <w:r w:rsidR="00560E6C">
        <w:t>, particularly ‘</w:t>
      </w:r>
      <w:r w:rsidRPr="001243FF">
        <w:t>Coherent and convincing formulation and defence of positions taken</w:t>
      </w:r>
      <w:r w:rsidR="00560E6C">
        <w:t>’</w:t>
      </w:r>
      <w:r w:rsidRPr="001243FF">
        <w:t>, by taking and defending a position of their own</w:t>
      </w:r>
      <w:r>
        <w:t xml:space="preserve">, </w:t>
      </w:r>
      <w:proofErr w:type="gramStart"/>
      <w:r>
        <w:t>as a consequence of</w:t>
      </w:r>
      <w:proofErr w:type="gramEnd"/>
      <w:r>
        <w:t xml:space="preserve"> consideration and analysis of </w:t>
      </w:r>
      <w:r w:rsidRPr="001243FF">
        <w:t>the issue from the positions of a number of philosophers.</w:t>
      </w:r>
    </w:p>
    <w:p w:rsidR="00225D7C" w:rsidRDefault="00225D7C" w:rsidP="00560E6C">
      <w:pPr>
        <w:pStyle w:val="SAABodytextitalics"/>
      </w:pPr>
      <w:r>
        <w:t>The less successful responses commonly:</w:t>
      </w:r>
    </w:p>
    <w:p w:rsidR="00225D7C" w:rsidRPr="00A30551" w:rsidRDefault="00225D7C" w:rsidP="00560E6C">
      <w:pPr>
        <w:pStyle w:val="SAABullets"/>
      </w:pPr>
      <w:r>
        <w:t>g</w:t>
      </w:r>
      <w:r w:rsidRPr="001243FF">
        <w:t>ave a descriptive account</w:t>
      </w:r>
      <w:r>
        <w:t xml:space="preserve"> of one philosopher’s position</w:t>
      </w:r>
    </w:p>
    <w:p w:rsidR="00225D7C" w:rsidRDefault="00225D7C" w:rsidP="00560E6C">
      <w:pPr>
        <w:pStyle w:val="SAABullets"/>
      </w:pPr>
      <w:r>
        <w:t>d</w:t>
      </w:r>
      <w:r w:rsidRPr="001243FF">
        <w:t>id not formulate and de</w:t>
      </w:r>
      <w:r>
        <w:t>fend the student’s own position at all.</w:t>
      </w:r>
    </w:p>
    <w:p w:rsidR="007F62E0" w:rsidRDefault="007F62E0" w:rsidP="00560E6C">
      <w:pPr>
        <w:pStyle w:val="SAAHeading1"/>
      </w:pPr>
      <w:r>
        <w:t>External Assessment</w:t>
      </w:r>
    </w:p>
    <w:p w:rsidR="00201242" w:rsidRDefault="00C020E2" w:rsidP="00560E6C">
      <w:pPr>
        <w:pStyle w:val="SAAHeading2afterH1"/>
      </w:pPr>
      <w:r>
        <w:t>Assessment Type 3</w:t>
      </w:r>
      <w:r w:rsidR="000A2396">
        <w:t>: Issues Study</w:t>
      </w:r>
    </w:p>
    <w:p w:rsidR="000A2396" w:rsidRPr="00675A75" w:rsidRDefault="000A2396" w:rsidP="00560E6C">
      <w:pPr>
        <w:pStyle w:val="SAABodytext"/>
      </w:pPr>
      <w:r w:rsidRPr="00675A75">
        <w:t>Students undertake one issues study.</w:t>
      </w:r>
    </w:p>
    <w:p w:rsidR="000A2396" w:rsidRPr="00675A75" w:rsidRDefault="000A2396" w:rsidP="00560E6C">
      <w:pPr>
        <w:pStyle w:val="SAABodytext"/>
      </w:pPr>
      <w:r w:rsidRPr="009959A8">
        <w:t>They examine a philosophical issue from any of the key areas, choosing the issue in negotiation with their</w:t>
      </w:r>
      <w:r w:rsidRPr="00675A75">
        <w:t xml:space="preserve"> teacher. Students consider the following questions:</w:t>
      </w:r>
    </w:p>
    <w:p w:rsidR="000A2396" w:rsidRPr="00675A75" w:rsidRDefault="000A2396" w:rsidP="00560E6C">
      <w:pPr>
        <w:pStyle w:val="SAABullets"/>
      </w:pPr>
      <w:r>
        <w:t>w</w:t>
      </w:r>
      <w:r w:rsidR="00560E6C">
        <w:t>hy is it a philosophical issue?</w:t>
      </w:r>
    </w:p>
    <w:p w:rsidR="000A2396" w:rsidRPr="00675A75" w:rsidRDefault="000A2396" w:rsidP="00560E6C">
      <w:pPr>
        <w:pStyle w:val="SAABullets"/>
      </w:pPr>
      <w:r>
        <w:t>w</w:t>
      </w:r>
      <w:r w:rsidRPr="00675A75">
        <w:t>hat positions do various philosophers hold</w:t>
      </w:r>
      <w:r>
        <w:t xml:space="preserve"> on the issue</w:t>
      </w:r>
      <w:r w:rsidR="00560E6C">
        <w:t>?</w:t>
      </w:r>
    </w:p>
    <w:p w:rsidR="000A2396" w:rsidRPr="00675A75" w:rsidRDefault="000A2396" w:rsidP="00560E6C">
      <w:pPr>
        <w:pStyle w:val="SAABullets"/>
      </w:pPr>
      <w:r>
        <w:t>w</w:t>
      </w:r>
      <w:r w:rsidRPr="00675A75">
        <w:t>hat are the philosophers’ reaso</w:t>
      </w:r>
      <w:r w:rsidR="00560E6C">
        <w:t>ns for holding these positions?</w:t>
      </w:r>
    </w:p>
    <w:p w:rsidR="000A2396" w:rsidRPr="00675A75" w:rsidRDefault="000A2396" w:rsidP="00560E6C">
      <w:pPr>
        <w:pStyle w:val="SAABullets"/>
      </w:pPr>
      <w:r>
        <w:t>w</w:t>
      </w:r>
      <w:r w:rsidRPr="00675A75">
        <w:t>hat objections or counter examples are relevant to these positions?</w:t>
      </w:r>
    </w:p>
    <w:p w:rsidR="000A2396" w:rsidRPr="00675A75" w:rsidRDefault="000A2396" w:rsidP="00560E6C">
      <w:pPr>
        <w:pStyle w:val="SAABullets"/>
      </w:pPr>
      <w:r>
        <w:t>w</w:t>
      </w:r>
      <w:r w:rsidRPr="00675A75">
        <w:t>hat is the s</w:t>
      </w:r>
      <w:r w:rsidR="00560E6C">
        <w:t>tudent’s own position, and why?</w:t>
      </w:r>
    </w:p>
    <w:p w:rsidR="00560E6C" w:rsidRDefault="00560E6C">
      <w:pPr>
        <w:spacing w:after="200" w:line="276" w:lineRule="auto"/>
        <w:rPr>
          <w:rFonts w:cstheme="minorHAnsi"/>
          <w:bCs/>
          <w:szCs w:val="22"/>
        </w:rPr>
      </w:pPr>
      <w:r>
        <w:br w:type="page"/>
      </w:r>
    </w:p>
    <w:p w:rsidR="000A2396" w:rsidRPr="00675A75" w:rsidRDefault="000A2396" w:rsidP="00560E6C">
      <w:pPr>
        <w:pStyle w:val="SAABodytext"/>
      </w:pPr>
      <w:r w:rsidRPr="00675A75">
        <w:lastRenderedPageBreak/>
        <w:t>For this assessment type, students provide evidence of their learning in relation to the following assessment design criteria:</w:t>
      </w:r>
    </w:p>
    <w:p w:rsidR="000A2396" w:rsidRPr="00675A75" w:rsidRDefault="000A2396" w:rsidP="00560E6C">
      <w:pPr>
        <w:pStyle w:val="SAABullets"/>
      </w:pPr>
      <w:r w:rsidRPr="00675A75">
        <w:t>knowledge and understanding</w:t>
      </w:r>
    </w:p>
    <w:p w:rsidR="000A2396" w:rsidRPr="00675A75" w:rsidRDefault="000A2396" w:rsidP="00560E6C">
      <w:pPr>
        <w:pStyle w:val="SAABullets"/>
      </w:pPr>
      <w:r w:rsidRPr="00675A75">
        <w:t>reasoning and argument</w:t>
      </w:r>
    </w:p>
    <w:p w:rsidR="000A2396" w:rsidRPr="00675A75" w:rsidRDefault="000A2396" w:rsidP="00560E6C">
      <w:pPr>
        <w:pStyle w:val="SAABullets"/>
      </w:pPr>
      <w:r w:rsidRPr="00675A75">
        <w:t>critical analysis</w:t>
      </w:r>
    </w:p>
    <w:p w:rsidR="000A2396" w:rsidRPr="00675A75" w:rsidRDefault="000A2396" w:rsidP="00560E6C">
      <w:pPr>
        <w:pStyle w:val="SAABullets"/>
      </w:pPr>
      <w:r>
        <w:t>communication</w:t>
      </w:r>
      <w:r w:rsidR="00560E6C">
        <w:t>.</w:t>
      </w:r>
    </w:p>
    <w:p w:rsidR="00201242" w:rsidRDefault="00201242" w:rsidP="00560E6C">
      <w:pPr>
        <w:pStyle w:val="SAABodytextitalics"/>
      </w:pPr>
      <w:r>
        <w:t>The more successful responses commonly:</w:t>
      </w:r>
    </w:p>
    <w:p w:rsidR="000A2396" w:rsidRPr="000A2396" w:rsidRDefault="000A2396" w:rsidP="00560E6C">
      <w:pPr>
        <w:pStyle w:val="SAABullets"/>
      </w:pPr>
      <w:r w:rsidRPr="000A2396">
        <w:t>posed a clearly defined and well-crafted philosophical question, not just a topic area to discuss. This allowed for the focused development and discussion of the arguments relating to the question and enabled the discussion to reach a conclus</w:t>
      </w:r>
      <w:r w:rsidR="00560E6C">
        <w:t>ion in response to the question</w:t>
      </w:r>
    </w:p>
    <w:p w:rsidR="000A2396" w:rsidRPr="000A2396" w:rsidRDefault="000A2396" w:rsidP="00560E6C">
      <w:pPr>
        <w:pStyle w:val="SAABullets"/>
      </w:pPr>
      <w:r w:rsidRPr="000A2396">
        <w:t>provided nuanced answers to question</w:t>
      </w:r>
      <w:r w:rsidR="00CB7A1E">
        <w:t>s which asked “To what extent…”</w:t>
      </w:r>
    </w:p>
    <w:p w:rsidR="000A2396" w:rsidRPr="000A2396" w:rsidRDefault="000A2396" w:rsidP="00560E6C">
      <w:pPr>
        <w:pStyle w:val="SAABullets"/>
      </w:pPr>
      <w:r w:rsidRPr="000A2396">
        <w:t xml:space="preserve">chose a question related to the </w:t>
      </w:r>
      <w:r>
        <w:t>one of the three</w:t>
      </w:r>
      <w:r w:rsidRPr="00675A75">
        <w:t xml:space="preserve"> topic areas</w:t>
      </w:r>
      <w:r w:rsidRPr="000A2396">
        <w:t xml:space="preserve"> in the subject outline (i.e. Ethics, Epistemology, or Metaphysic) not from Aesthetics or Political Philosophy</w:t>
      </w:r>
    </w:p>
    <w:p w:rsidR="000A2396" w:rsidRPr="00675A75" w:rsidRDefault="000A2396" w:rsidP="00560E6C">
      <w:pPr>
        <w:pStyle w:val="SAABullets"/>
      </w:pPr>
      <w:r>
        <w:t>ensured</w:t>
      </w:r>
      <w:r w:rsidRPr="00675A75">
        <w:t xml:space="preserve"> that the topic</w:t>
      </w:r>
      <w:r>
        <w:t xml:space="preserve"> question gave scope for</w:t>
      </w:r>
      <w:r w:rsidRPr="00675A75">
        <w:t xml:space="preserve"> the student to explain and analyse </w:t>
      </w:r>
      <w:proofErr w:type="gramStart"/>
      <w:r w:rsidRPr="00675A75">
        <w:t>a number of</w:t>
      </w:r>
      <w:proofErr w:type="gramEnd"/>
      <w:r w:rsidRPr="00675A75">
        <w:t xml:space="preserve"> philosophical positions and the arguments for and against those positions</w:t>
      </w:r>
    </w:p>
    <w:p w:rsidR="000A2396" w:rsidRPr="000A2396" w:rsidRDefault="000A2396" w:rsidP="00560E6C">
      <w:pPr>
        <w:pStyle w:val="SAABullets"/>
      </w:pPr>
      <w:r w:rsidRPr="000A2396">
        <w:t>focused on the philosophical ideas and positions as they related to the question, and didn’t provide biographical information on the philosophers</w:t>
      </w:r>
    </w:p>
    <w:p w:rsidR="000A2396" w:rsidRPr="000A2396" w:rsidRDefault="000A2396" w:rsidP="00560E6C">
      <w:pPr>
        <w:pStyle w:val="SAABullets"/>
      </w:pPr>
      <w:r w:rsidRPr="000A2396">
        <w:t>ensured the philosophical discussion was interwoven as an argument rather than a series of paragraphs outlining many different philosophers’ points of view</w:t>
      </w:r>
    </w:p>
    <w:p w:rsidR="000A2396" w:rsidRPr="000A2396" w:rsidRDefault="000A2396" w:rsidP="00560E6C">
      <w:pPr>
        <w:pStyle w:val="SAABullets"/>
      </w:pPr>
      <w:r w:rsidRPr="000A2396">
        <w:t>provided a detailed, perceptive critical analysis of the strengths and weaknesses of the philosophical positions and arguments discussed</w:t>
      </w:r>
    </w:p>
    <w:p w:rsidR="000A2396" w:rsidRPr="000A2396" w:rsidRDefault="000A2396" w:rsidP="00560E6C">
      <w:pPr>
        <w:pStyle w:val="SAABullets"/>
      </w:pPr>
      <w:r w:rsidRPr="000A2396">
        <w:t>clearly expressed their position in relation to their question and provided a coherent, argued defence of it</w:t>
      </w:r>
    </w:p>
    <w:p w:rsidR="000A2396" w:rsidRDefault="000A2396" w:rsidP="00560E6C">
      <w:pPr>
        <w:pStyle w:val="SAABullets"/>
      </w:pPr>
      <w:r>
        <w:t>r</w:t>
      </w:r>
      <w:r w:rsidRPr="00675A75">
        <w:t xml:space="preserve">eferenced </w:t>
      </w:r>
      <w:r>
        <w:t xml:space="preserve">appropriately </w:t>
      </w:r>
      <w:r w:rsidRPr="00675A75">
        <w:t>and presented a bibliography accurately and correctly</w:t>
      </w:r>
      <w:r>
        <w:t>.</w:t>
      </w:r>
    </w:p>
    <w:p w:rsidR="00201242" w:rsidRDefault="00201242" w:rsidP="00CB7A1E">
      <w:pPr>
        <w:pStyle w:val="SAABodytextitalics"/>
      </w:pPr>
      <w:r>
        <w:t>The less successful responses commonly:</w:t>
      </w:r>
    </w:p>
    <w:p w:rsidR="000A2396" w:rsidRDefault="000A2396" w:rsidP="00CB7A1E">
      <w:pPr>
        <w:pStyle w:val="SAABullets"/>
      </w:pPr>
      <w:r>
        <w:t>h</w:t>
      </w:r>
      <w:r w:rsidRPr="00675A75">
        <w:t xml:space="preserve">ad a </w:t>
      </w:r>
      <w:r>
        <w:t xml:space="preserve">general </w:t>
      </w:r>
      <w:r w:rsidRPr="00675A75">
        <w:t xml:space="preserve">topic rather than a </w:t>
      </w:r>
      <w:r>
        <w:t xml:space="preserve">specific </w:t>
      </w:r>
      <w:r w:rsidR="00CB7A1E">
        <w:t>question</w:t>
      </w:r>
    </w:p>
    <w:p w:rsidR="000A2396" w:rsidRPr="000A2396" w:rsidRDefault="000A2396" w:rsidP="00CB7A1E">
      <w:pPr>
        <w:pStyle w:val="SAABullets"/>
      </w:pPr>
      <w:r w:rsidRPr="000A2396">
        <w:t>used rhetorical questions</w:t>
      </w:r>
    </w:p>
    <w:p w:rsidR="000A2396" w:rsidRPr="000A2396" w:rsidRDefault="00CB7A1E" w:rsidP="00CB7A1E">
      <w:pPr>
        <w:pStyle w:val="SAABullets"/>
      </w:pPr>
      <w:r>
        <w:t>lacked a clear structure</w:t>
      </w:r>
    </w:p>
    <w:p w:rsidR="000A2396" w:rsidRPr="000A2396" w:rsidRDefault="005A1C4D" w:rsidP="00CB7A1E">
      <w:pPr>
        <w:pStyle w:val="SAABullets"/>
      </w:pPr>
      <w:r>
        <w:t>did not</w:t>
      </w:r>
      <w:r w:rsidR="000A2396" w:rsidRPr="000A2396">
        <w:t xml:space="preserve"> reach a clearly articulated position in relation to their question</w:t>
      </w:r>
      <w:bookmarkStart w:id="0" w:name="_GoBack"/>
      <w:bookmarkEnd w:id="0"/>
    </w:p>
    <w:p w:rsidR="000A2396" w:rsidRPr="000A2396" w:rsidRDefault="000A2396" w:rsidP="00CB7A1E">
      <w:pPr>
        <w:pStyle w:val="SAABullets"/>
      </w:pPr>
      <w:r w:rsidRPr="000A2396">
        <w:t>were unable to provide a critical analysis of philosophical positions and arguments</w:t>
      </w:r>
    </w:p>
    <w:p w:rsidR="000A2396" w:rsidRPr="000A2396" w:rsidRDefault="000A2396" w:rsidP="00CB7A1E">
      <w:pPr>
        <w:pStyle w:val="SAABullets"/>
      </w:pPr>
      <w:r w:rsidRPr="000A2396">
        <w:t>were vague in their anal</w:t>
      </w:r>
      <w:r w:rsidR="00CB7A1E">
        <w:t>ysis of positions and arguments</w:t>
      </w:r>
    </w:p>
    <w:p w:rsidR="000A2396" w:rsidRPr="00280718" w:rsidRDefault="000A2396" w:rsidP="00CB7A1E">
      <w:pPr>
        <w:pStyle w:val="SAABullets"/>
      </w:pPr>
      <w:r>
        <w:t>p</w:t>
      </w:r>
      <w:r w:rsidRPr="00675A75">
        <w:t xml:space="preserve">resented a sociological, economic or psychological </w:t>
      </w:r>
      <w:r>
        <w:t xml:space="preserve">study and/or </w:t>
      </w:r>
      <w:r w:rsidRPr="00675A75">
        <w:t>approach</w:t>
      </w:r>
      <w:r>
        <w:t xml:space="preserve"> rather than a philosophical study</w:t>
      </w:r>
    </w:p>
    <w:p w:rsidR="000A2396" w:rsidRPr="00280718" w:rsidRDefault="000A2396" w:rsidP="00CB7A1E">
      <w:pPr>
        <w:pStyle w:val="SAABullets"/>
      </w:pPr>
      <w:r>
        <w:t>w</w:t>
      </w:r>
      <w:r w:rsidRPr="00675A75">
        <w:t xml:space="preserve">ere </w:t>
      </w:r>
      <w:r>
        <w:t>an investigation into a</w:t>
      </w:r>
      <w:r w:rsidRPr="00675A75">
        <w:t xml:space="preserve"> </w:t>
      </w:r>
      <w:proofErr w:type="gramStart"/>
      <w:r w:rsidRPr="00675A75">
        <w:t>particular philosopher</w:t>
      </w:r>
      <w:proofErr w:type="gramEnd"/>
      <w:r>
        <w:t xml:space="preserve"> rather than a probing </w:t>
      </w:r>
      <w:r w:rsidRPr="00675A75">
        <w:t>study of a philosophical issue</w:t>
      </w:r>
    </w:p>
    <w:p w:rsidR="000A2396" w:rsidRPr="000A2396" w:rsidRDefault="000A2396" w:rsidP="00CB7A1E">
      <w:pPr>
        <w:pStyle w:val="SAABullets"/>
      </w:pPr>
      <w:r w:rsidRPr="000A2396">
        <w:t>communicated their ideas competently, but not consistently clearly, coherently or fluently</w:t>
      </w:r>
    </w:p>
    <w:p w:rsidR="000A2396" w:rsidRDefault="000A2396" w:rsidP="00CB7A1E">
      <w:pPr>
        <w:pStyle w:val="SAABullets"/>
      </w:pPr>
      <w:r>
        <w:t>did not adhere to the requirements of the assessment type in the subject outline.</w:t>
      </w:r>
    </w:p>
    <w:sectPr w:rsidR="000A2396" w:rsidSect="00201242">
      <w:headerReference w:type="first" r:id="rId12"/>
      <w:footerReference w:type="first" r:id="rId13"/>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ADA" w:rsidRDefault="000D4ADA" w:rsidP="00131B77">
      <w:pPr>
        <w:spacing w:after="0"/>
      </w:pPr>
      <w:r>
        <w:separator/>
      </w:r>
    </w:p>
  </w:endnote>
  <w:endnote w:type="continuationSeparator" w:id="0">
    <w:p w:rsidR="000D4ADA" w:rsidRDefault="000D4ADA"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embedRegular r:id="rId1" w:fontKey="{DE53BC24-1C1A-43A2-8166-FC728C8E9C97}"/>
    <w:embedItalic r:id="rId2" w:fontKey="{F9D67959-0A43-44CE-9336-927BBE27AF5C}"/>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embedRegular r:id="rId3" w:subsetted="1" w:fontKey="{08F5E4EE-82AC-41D8-9982-4BBE9C03128F}"/>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E6C" w:rsidRDefault="00560E6C" w:rsidP="00C725E4">
    <w:pPr>
      <w:pStyle w:val="Footer1"/>
    </w:pPr>
    <w:r>
      <w:t>S</w:t>
    </w:r>
    <w:r w:rsidRPr="00201242">
      <w:t xml:space="preserve">tage 2 </w:t>
    </w:r>
    <w:r>
      <w:t>Philosophy</w:t>
    </w:r>
    <w:r w:rsidRPr="00C725E4">
      <w:t xml:space="preserve"> </w:t>
    </w:r>
    <w:r>
      <w:t xml:space="preserve">– 2019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4F659D">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4F659D">
      <w:rPr>
        <w:noProof/>
      </w:rPr>
      <w:t>3</w:t>
    </w:r>
    <w:r>
      <w:rPr>
        <w:sz w:val="24"/>
        <w:szCs w:val="24"/>
      </w:rPr>
      <w:fldChar w:fldCharType="end"/>
    </w:r>
  </w:p>
  <w:p w:rsidR="00560E6C" w:rsidRPr="00C725E4" w:rsidRDefault="00560E6C" w:rsidP="00C725E4">
    <w:pPr>
      <w:pStyle w:val="Footer1"/>
    </w:pPr>
    <w:r w:rsidRPr="00293B3D">
      <w:t xml:space="preserve">Ref: </w:t>
    </w:r>
    <w:r w:rsidR="000D4ADA">
      <w:fldChar w:fldCharType="begin"/>
    </w:r>
    <w:r w:rsidR="000D4ADA">
      <w:instrText xml:space="preserve"> DOCPROPERTY  Objective-Id  \* MERGEFORMAT </w:instrText>
    </w:r>
    <w:r w:rsidR="000D4ADA">
      <w:fldChar w:fldCharType="separate"/>
    </w:r>
    <w:r w:rsidR="005A1C4D">
      <w:t>A886916</w:t>
    </w:r>
    <w:r w:rsidR="000D4ADA">
      <w:fldChar w:fldCharType="end"/>
    </w:r>
    <w:r>
      <w:t xml:space="preserve"> </w:t>
    </w:r>
    <w:r w:rsidRPr="00293B3D">
      <w:t xml:space="preserve"> © SA</w:t>
    </w:r>
    <w:r>
      <w:t>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520841"/>
      <w:docPartObj>
        <w:docPartGallery w:val="Page Numbers (Bottom of Page)"/>
        <w:docPartUnique/>
      </w:docPartObj>
    </w:sdtPr>
    <w:sdtEndPr/>
    <w:sdtContent>
      <w:sdt>
        <w:sdtPr>
          <w:id w:val="-2076804441"/>
          <w:docPartObj>
            <w:docPartGallery w:val="Page Numbers (Top of Page)"/>
            <w:docPartUnique/>
          </w:docPartObj>
        </w:sdtPr>
        <w:sdtEndPr/>
        <w:sdtContent>
          <w:p w:rsidR="00560E6C" w:rsidRDefault="00560E6C" w:rsidP="00560E6C">
            <w:pPr>
              <w:pStyle w:val="Footer1"/>
              <w:tabs>
                <w:tab w:val="clear" w:pos="9639"/>
                <w:tab w:val="right" w:pos="8080"/>
              </w:tabs>
            </w:pPr>
            <w:r>
              <w:rPr>
                <w:noProof/>
                <w:lang w:val="en-AU"/>
              </w:rPr>
              <w:drawing>
                <wp:anchor distT="0" distB="0" distL="114300" distR="114300" simplePos="0" relativeHeight="251660288" behindDoc="1" locked="0" layoutInCell="1" allowOverlap="1" wp14:anchorId="146E68CC" wp14:editId="6AB70E42">
                  <wp:simplePos x="0" y="0"/>
                  <wp:positionH relativeFrom="column">
                    <wp:posOffset>4893310</wp:posOffset>
                  </wp:positionH>
                  <wp:positionV relativeFrom="paragraph">
                    <wp:posOffset>-382270</wp:posOffset>
                  </wp:positionV>
                  <wp:extent cx="1901825" cy="1304290"/>
                  <wp:effectExtent l="0" t="0" r="0" b="8255"/>
                  <wp:wrapTight wrapText="bothSides">
                    <wp:wrapPolygon edited="0">
                      <wp:start x="0" y="0"/>
                      <wp:lineTo x="0" y="21398"/>
                      <wp:lineTo x="21274" y="21398"/>
                      <wp:lineTo x="21274" y="0"/>
                      <wp:lineTo x="0" y="0"/>
                    </wp:wrapPolygon>
                  </wp:wrapTight>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t>S</w:t>
            </w:r>
            <w:r w:rsidRPr="00201242">
              <w:t xml:space="preserve">tage 2 </w:t>
            </w:r>
            <w:r>
              <w:t>Philosophy</w:t>
            </w:r>
            <w:r w:rsidRPr="00C725E4">
              <w:t xml:space="preserve"> </w:t>
            </w:r>
            <w:r>
              <w:t xml:space="preserve">– 2019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374602">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374602">
              <w:rPr>
                <w:noProof/>
              </w:rPr>
              <w:t>1</w:t>
            </w:r>
            <w:r>
              <w:rPr>
                <w:sz w:val="24"/>
                <w:szCs w:val="24"/>
              </w:rPr>
              <w:fldChar w:fldCharType="end"/>
            </w:r>
          </w:p>
          <w:p w:rsidR="00560E6C" w:rsidRDefault="00560E6C" w:rsidP="00560E6C">
            <w:pPr>
              <w:pStyle w:val="Footer1"/>
              <w:tabs>
                <w:tab w:val="clear" w:pos="9639"/>
                <w:tab w:val="right" w:pos="8364"/>
              </w:tabs>
            </w:pPr>
            <w:r w:rsidRPr="00293B3D">
              <w:t xml:space="preserve">Ref: </w:t>
            </w:r>
            <w:r w:rsidR="000D4ADA">
              <w:fldChar w:fldCharType="begin"/>
            </w:r>
            <w:r w:rsidR="000D4ADA">
              <w:instrText xml:space="preserve"> DOCPROPERTY  Objective-Id  \* MERGEFORMAT </w:instrText>
            </w:r>
            <w:r w:rsidR="000D4ADA">
              <w:fldChar w:fldCharType="separate"/>
            </w:r>
            <w:r w:rsidR="00CB7A1E">
              <w:t>A886916</w:t>
            </w:r>
            <w:r w:rsidR="000D4ADA">
              <w:fldChar w:fldCharType="end"/>
            </w:r>
            <w:r>
              <w:t xml:space="preserve"> </w:t>
            </w:r>
            <w:r w:rsidRPr="00293B3D">
              <w:t xml:space="preserve"> © SA</w:t>
            </w:r>
            <w:r>
              <w:t>CE Board of South Australia 2019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5E4" w:rsidRDefault="00201242" w:rsidP="00201242">
    <w:pPr>
      <w:pStyle w:val="Footer1"/>
    </w:pPr>
    <w:r>
      <w:t>S</w:t>
    </w:r>
    <w:r w:rsidRPr="00201242">
      <w:t xml:space="preserve">tage 2 </w:t>
    </w:r>
    <w:r w:rsidR="00225D7C">
      <w:t>Philosophy</w:t>
    </w:r>
    <w:r w:rsidRPr="00C725E4">
      <w:t xml:space="preserve"> </w:t>
    </w:r>
    <w:r w:rsidR="007510E0">
      <w:t>– 2019</w:t>
    </w:r>
    <w:r w:rsidRPr="00201242">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4F659D">
      <w:rPr>
        <w:noProof/>
      </w:rPr>
      <w:t>2</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4F659D">
      <w:rPr>
        <w:noProof/>
      </w:rPr>
      <w:t>3</w:t>
    </w:r>
    <w:r w:rsidR="00C725E4">
      <w:rPr>
        <w:sz w:val="24"/>
        <w:szCs w:val="24"/>
      </w:rPr>
      <w:fldChar w:fldCharType="end"/>
    </w:r>
  </w:p>
  <w:p w:rsidR="00201242" w:rsidRDefault="00201242" w:rsidP="00560E6C">
    <w:pPr>
      <w:pStyle w:val="Footer1"/>
    </w:pPr>
    <w:r w:rsidRPr="00293B3D">
      <w:t xml:space="preserve">Ref: </w:t>
    </w:r>
    <w:r w:rsidR="000D4ADA">
      <w:fldChar w:fldCharType="begin"/>
    </w:r>
    <w:r w:rsidR="000D4ADA">
      <w:instrText xml:space="preserve"> DOCPROPERTY  Objective-Id  \* MERGEFORMAT </w:instrText>
    </w:r>
    <w:r w:rsidR="000D4ADA">
      <w:fldChar w:fldCharType="separate"/>
    </w:r>
    <w:r w:rsidR="00CB7A1E">
      <w:t>A886916</w:t>
    </w:r>
    <w:r w:rsidR="000D4ADA">
      <w:fldChar w:fldCharType="end"/>
    </w:r>
    <w:r>
      <w:t xml:space="preserve"> </w:t>
    </w:r>
    <w:r w:rsidRPr="00293B3D">
      <w:t xml:space="preserve"> © SA</w:t>
    </w:r>
    <w:r>
      <w:t>CE Board of South Australia 201</w:t>
    </w:r>
    <w:r w:rsidR="00560E6C">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ADA" w:rsidRDefault="000D4ADA" w:rsidP="00131B77">
      <w:pPr>
        <w:spacing w:after="0"/>
      </w:pPr>
      <w:r>
        <w:separator/>
      </w:r>
    </w:p>
  </w:footnote>
  <w:footnote w:type="continuationSeparator" w:id="0">
    <w:p w:rsidR="000D4ADA" w:rsidRDefault="000D4ADA"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E6C" w:rsidRDefault="00560E6C" w:rsidP="005A3A01">
    <w:r>
      <w:rPr>
        <w:noProof/>
        <w:lang w:eastAsia="en-AU"/>
      </w:rPr>
      <w:drawing>
        <wp:anchor distT="0" distB="0" distL="114300" distR="114300" simplePos="0" relativeHeight="251657216" behindDoc="1" locked="0" layoutInCell="1" allowOverlap="1" wp14:anchorId="6CF044E2" wp14:editId="588F81AB">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D5010"/>
    <w:multiLevelType w:val="hybridMultilevel"/>
    <w:tmpl w:val="5EE4E4BC"/>
    <w:lvl w:ilvl="0" w:tplc="E2043AB4">
      <w:start w:val="1"/>
      <w:numFmt w:val="bullet"/>
      <w:lvlText w:val=""/>
      <w:lvlJc w:val="left"/>
      <w:pPr>
        <w:tabs>
          <w:tab w:val="num" w:pos="170"/>
        </w:tabs>
        <w:ind w:left="170" w:hanging="170"/>
      </w:pPr>
      <w:rPr>
        <w:rFonts w:ascii="Symbol" w:hAnsi="Symbol" w:hint="default"/>
        <w:color w:val="000000"/>
        <w:sz w:val="16"/>
      </w:rPr>
    </w:lvl>
    <w:lvl w:ilvl="1" w:tplc="D3388F26">
      <w:numFmt w:val="bullet"/>
      <w:lvlText w:val="-"/>
      <w:lvlJc w:val="left"/>
      <w:pPr>
        <w:tabs>
          <w:tab w:val="num" w:pos="1440"/>
        </w:tabs>
        <w:ind w:left="1440" w:hanging="360"/>
      </w:pPr>
      <w:rPr>
        <w:rFonts w:ascii="Roboto Light" w:eastAsia="MS Mincho" w:hAnsi="Roboto Light" w:cs="Arial" w:hint="default"/>
      </w:rPr>
    </w:lvl>
    <w:lvl w:ilvl="2" w:tplc="D3388F26">
      <w:numFmt w:val="bullet"/>
      <w:lvlText w:val="-"/>
      <w:lvlJc w:val="left"/>
      <w:pPr>
        <w:ind w:left="2160" w:hanging="360"/>
      </w:pPr>
      <w:rPr>
        <w:rFonts w:ascii="Roboto Light" w:eastAsia="MS Mincho" w:hAnsi="Roboto Light"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53BCD"/>
    <w:multiLevelType w:val="hybridMultilevel"/>
    <w:tmpl w:val="BDA6FF1C"/>
    <w:lvl w:ilvl="0" w:tplc="D3388F26">
      <w:numFmt w:val="bullet"/>
      <w:lvlText w:val="-"/>
      <w:lvlJc w:val="left"/>
      <w:pPr>
        <w:tabs>
          <w:tab w:val="num" w:pos="170"/>
        </w:tabs>
        <w:ind w:left="170" w:hanging="170"/>
      </w:pPr>
      <w:rPr>
        <w:rFonts w:ascii="Roboto Light" w:eastAsia="MS Mincho" w:hAnsi="Roboto Light" w:cs="Arial" w:hint="default"/>
        <w:color w:val="000000"/>
        <w:sz w:val="16"/>
      </w:rPr>
    </w:lvl>
    <w:lvl w:ilvl="1" w:tplc="D3388F26">
      <w:numFmt w:val="bullet"/>
      <w:lvlText w:val="-"/>
      <w:lvlJc w:val="left"/>
      <w:pPr>
        <w:tabs>
          <w:tab w:val="num" w:pos="1440"/>
        </w:tabs>
        <w:ind w:left="1440" w:hanging="360"/>
      </w:pPr>
      <w:rPr>
        <w:rFonts w:ascii="Roboto Light" w:eastAsia="MS Mincho" w:hAnsi="Roboto Light" w:cs="Arial" w:hint="default"/>
      </w:rPr>
    </w:lvl>
    <w:lvl w:ilvl="2" w:tplc="D3388F26">
      <w:numFmt w:val="bullet"/>
      <w:lvlText w:val="-"/>
      <w:lvlJc w:val="left"/>
      <w:pPr>
        <w:ind w:left="2160" w:hanging="360"/>
      </w:pPr>
      <w:rPr>
        <w:rFonts w:ascii="Roboto Light" w:eastAsia="MS Mincho" w:hAnsi="Roboto Light"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5651F"/>
    <w:multiLevelType w:val="hybridMultilevel"/>
    <w:tmpl w:val="4B5A41C8"/>
    <w:lvl w:ilvl="0" w:tplc="E2043AB4">
      <w:start w:val="1"/>
      <w:numFmt w:val="bullet"/>
      <w:lvlText w:val=""/>
      <w:lvlJc w:val="left"/>
      <w:pPr>
        <w:tabs>
          <w:tab w:val="num" w:pos="170"/>
        </w:tabs>
        <w:ind w:left="170" w:hanging="170"/>
      </w:pPr>
      <w:rPr>
        <w:rFonts w:ascii="Symbol" w:hAnsi="Symbol" w:hint="default"/>
        <w:color w:val="000000"/>
        <w:sz w:val="16"/>
      </w:rPr>
    </w:lvl>
    <w:lvl w:ilvl="1" w:tplc="D3388F26">
      <w:numFmt w:val="bullet"/>
      <w:lvlText w:val="-"/>
      <w:lvlJc w:val="left"/>
      <w:pPr>
        <w:tabs>
          <w:tab w:val="num" w:pos="1440"/>
        </w:tabs>
        <w:ind w:left="1440" w:hanging="360"/>
      </w:pPr>
      <w:rPr>
        <w:rFonts w:ascii="Roboto Light" w:eastAsia="MS Mincho" w:hAnsi="Roboto Light" w:cs="Arial" w:hint="default"/>
      </w:rPr>
    </w:lvl>
    <w:lvl w:ilvl="2" w:tplc="D3388F26">
      <w:numFmt w:val="bullet"/>
      <w:lvlText w:val="-"/>
      <w:lvlJc w:val="left"/>
      <w:pPr>
        <w:ind w:left="2160" w:hanging="360"/>
      </w:pPr>
      <w:rPr>
        <w:rFonts w:ascii="Roboto Light" w:eastAsia="MS Mincho" w:hAnsi="Roboto Light"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41186E6C"/>
    <w:multiLevelType w:val="hybridMultilevel"/>
    <w:tmpl w:val="EB66389E"/>
    <w:lvl w:ilvl="0" w:tplc="D3388F26">
      <w:numFmt w:val="bullet"/>
      <w:lvlText w:val="-"/>
      <w:lvlJc w:val="left"/>
      <w:pPr>
        <w:tabs>
          <w:tab w:val="num" w:pos="170"/>
        </w:tabs>
        <w:ind w:left="170" w:hanging="170"/>
      </w:pPr>
      <w:rPr>
        <w:rFonts w:ascii="Roboto Light" w:eastAsia="MS Mincho" w:hAnsi="Roboto Light" w:cs="Arial" w:hint="default"/>
        <w:color w:val="000000"/>
        <w:sz w:val="16"/>
      </w:rPr>
    </w:lvl>
    <w:lvl w:ilvl="1" w:tplc="D3388F26">
      <w:numFmt w:val="bullet"/>
      <w:lvlText w:val="-"/>
      <w:lvlJc w:val="left"/>
      <w:pPr>
        <w:tabs>
          <w:tab w:val="num" w:pos="1440"/>
        </w:tabs>
        <w:ind w:left="1440" w:hanging="360"/>
      </w:pPr>
      <w:rPr>
        <w:rFonts w:ascii="Roboto Light" w:eastAsia="MS Mincho" w:hAnsi="Roboto Light" w:cs="Arial" w:hint="default"/>
      </w:rPr>
    </w:lvl>
    <w:lvl w:ilvl="2" w:tplc="D3388F26">
      <w:numFmt w:val="bullet"/>
      <w:lvlText w:val="-"/>
      <w:lvlJc w:val="left"/>
      <w:pPr>
        <w:ind w:left="2160" w:hanging="360"/>
      </w:pPr>
      <w:rPr>
        <w:rFonts w:ascii="Roboto Light" w:eastAsia="MS Mincho" w:hAnsi="Roboto Light"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564C29"/>
    <w:multiLevelType w:val="hybridMultilevel"/>
    <w:tmpl w:val="140C8048"/>
    <w:lvl w:ilvl="0" w:tplc="D3388F26">
      <w:numFmt w:val="bullet"/>
      <w:lvlText w:val="-"/>
      <w:lvlJc w:val="left"/>
      <w:pPr>
        <w:tabs>
          <w:tab w:val="num" w:pos="170"/>
        </w:tabs>
        <w:ind w:left="170" w:hanging="170"/>
      </w:pPr>
      <w:rPr>
        <w:rFonts w:ascii="Roboto Light" w:eastAsia="MS Mincho" w:hAnsi="Roboto Light" w:cs="Arial" w:hint="default"/>
        <w:color w:val="000000"/>
        <w:sz w:val="16"/>
      </w:rPr>
    </w:lvl>
    <w:lvl w:ilvl="1" w:tplc="D3388F26">
      <w:numFmt w:val="bullet"/>
      <w:lvlText w:val="-"/>
      <w:lvlJc w:val="left"/>
      <w:pPr>
        <w:tabs>
          <w:tab w:val="num" w:pos="1440"/>
        </w:tabs>
        <w:ind w:left="1440" w:hanging="360"/>
      </w:pPr>
      <w:rPr>
        <w:rFonts w:ascii="Roboto Light" w:eastAsia="MS Mincho" w:hAnsi="Roboto Light" w:cs="Arial" w:hint="default"/>
      </w:rPr>
    </w:lvl>
    <w:lvl w:ilvl="2" w:tplc="D3388F26">
      <w:numFmt w:val="bullet"/>
      <w:lvlText w:val="-"/>
      <w:lvlJc w:val="left"/>
      <w:pPr>
        <w:ind w:left="2160" w:hanging="360"/>
      </w:pPr>
      <w:rPr>
        <w:rFonts w:ascii="Roboto Light" w:eastAsia="MS Mincho" w:hAnsi="Roboto Light"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EB6042"/>
    <w:multiLevelType w:val="hybridMultilevel"/>
    <w:tmpl w:val="9BFC88A2"/>
    <w:lvl w:ilvl="0" w:tplc="1590A462">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F96517"/>
    <w:multiLevelType w:val="hybridMultilevel"/>
    <w:tmpl w:val="57220A42"/>
    <w:lvl w:ilvl="0" w:tplc="E2043AB4">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D3388F26">
      <w:numFmt w:val="bullet"/>
      <w:lvlText w:val="-"/>
      <w:lvlJc w:val="left"/>
      <w:pPr>
        <w:ind w:left="2160" w:hanging="360"/>
      </w:pPr>
      <w:rPr>
        <w:rFonts w:ascii="Roboto Light" w:eastAsia="MS Mincho" w:hAnsi="Roboto Light"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0"/>
  </w:num>
  <w:num w:numId="4">
    <w:abstractNumId w:val="11"/>
  </w:num>
  <w:num w:numId="5">
    <w:abstractNumId w:val="9"/>
  </w:num>
  <w:num w:numId="6">
    <w:abstractNumId w:val="4"/>
  </w:num>
  <w:num w:numId="7">
    <w:abstractNumId w:val="12"/>
  </w:num>
  <w:num w:numId="8">
    <w:abstractNumId w:val="7"/>
  </w:num>
  <w:num w:numId="9">
    <w:abstractNumId w:val="8"/>
  </w:num>
  <w:num w:numId="10">
    <w:abstractNumId w:val="2"/>
  </w:num>
  <w:num w:numId="11">
    <w:abstractNumId w:val="3"/>
  </w:num>
  <w:num w:numId="12">
    <w:abstractNumId w:val="1"/>
  </w:num>
  <w:num w:numId="13">
    <w:abstractNumId w:val="6"/>
  </w:num>
  <w:num w:numId="14">
    <w:abstractNumId w:val="9"/>
  </w:num>
  <w:num w:numId="15">
    <w:abstractNumId w:val="9"/>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B77"/>
    <w:rsid w:val="000068E6"/>
    <w:rsid w:val="00021061"/>
    <w:rsid w:val="000518C7"/>
    <w:rsid w:val="000A2396"/>
    <w:rsid w:val="000C09B3"/>
    <w:rsid w:val="000D4ADA"/>
    <w:rsid w:val="00131B77"/>
    <w:rsid w:val="001347AD"/>
    <w:rsid w:val="00180FAB"/>
    <w:rsid w:val="001B40F1"/>
    <w:rsid w:val="001E52F9"/>
    <w:rsid w:val="001F5F8D"/>
    <w:rsid w:val="00201242"/>
    <w:rsid w:val="00225D7C"/>
    <w:rsid w:val="002A6A8F"/>
    <w:rsid w:val="002C6B94"/>
    <w:rsid w:val="00326BF4"/>
    <w:rsid w:val="00341480"/>
    <w:rsid w:val="00374602"/>
    <w:rsid w:val="00376F61"/>
    <w:rsid w:val="004062BC"/>
    <w:rsid w:val="004556FA"/>
    <w:rsid w:val="00472C22"/>
    <w:rsid w:val="004E2194"/>
    <w:rsid w:val="004F659D"/>
    <w:rsid w:val="00503D5E"/>
    <w:rsid w:val="00560E6C"/>
    <w:rsid w:val="00561440"/>
    <w:rsid w:val="00594271"/>
    <w:rsid w:val="005A1C4D"/>
    <w:rsid w:val="005A3A01"/>
    <w:rsid w:val="005B451D"/>
    <w:rsid w:val="00634151"/>
    <w:rsid w:val="00690A42"/>
    <w:rsid w:val="00690FC7"/>
    <w:rsid w:val="006B765B"/>
    <w:rsid w:val="006E5471"/>
    <w:rsid w:val="007510E0"/>
    <w:rsid w:val="007F62E0"/>
    <w:rsid w:val="0080584E"/>
    <w:rsid w:val="008060F9"/>
    <w:rsid w:val="008C06E9"/>
    <w:rsid w:val="009230CE"/>
    <w:rsid w:val="009972C7"/>
    <w:rsid w:val="009A036E"/>
    <w:rsid w:val="009C265A"/>
    <w:rsid w:val="009E4C82"/>
    <w:rsid w:val="00A21F30"/>
    <w:rsid w:val="00A426B6"/>
    <w:rsid w:val="00A77034"/>
    <w:rsid w:val="00A77C96"/>
    <w:rsid w:val="00A911C1"/>
    <w:rsid w:val="00AB04E5"/>
    <w:rsid w:val="00AE6958"/>
    <w:rsid w:val="00AF5627"/>
    <w:rsid w:val="00B00B0F"/>
    <w:rsid w:val="00B76F69"/>
    <w:rsid w:val="00C020E2"/>
    <w:rsid w:val="00C36A02"/>
    <w:rsid w:val="00C725E4"/>
    <w:rsid w:val="00CB7A1E"/>
    <w:rsid w:val="00CC5FA7"/>
    <w:rsid w:val="00CF7041"/>
    <w:rsid w:val="00D41AD5"/>
    <w:rsid w:val="00D952B4"/>
    <w:rsid w:val="00DD1BBA"/>
    <w:rsid w:val="00DF7DAA"/>
    <w:rsid w:val="00E15730"/>
    <w:rsid w:val="00E45637"/>
    <w:rsid w:val="00E537E6"/>
    <w:rsid w:val="00E8113F"/>
    <w:rsid w:val="00F0653B"/>
    <w:rsid w:val="00F33D0A"/>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B6215"/>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OFinalBullets">
    <w:name w:val="SO Final Bullets"/>
    <w:link w:val="SOFinalBulletsCharChar"/>
    <w:autoRedefine/>
    <w:rsid w:val="000A2396"/>
    <w:pPr>
      <w:numPr>
        <w:numId w:val="7"/>
      </w:numPr>
      <w:spacing w:before="60" w:after="0" w:line="240" w:lineRule="auto"/>
    </w:pPr>
    <w:rPr>
      <w:rFonts w:ascii="Arial" w:eastAsia="MS Mincho" w:hAnsi="Arial" w:cs="Arial"/>
      <w:color w:val="000000"/>
      <w:szCs w:val="24"/>
      <w:lang w:val="en-US"/>
    </w:rPr>
  </w:style>
  <w:style w:type="character" w:customStyle="1" w:styleId="SOFinalBulletsCharChar">
    <w:name w:val="SO Final Bullets Char Char"/>
    <w:link w:val="SOFinalBullets"/>
    <w:rsid w:val="000A2396"/>
    <w:rPr>
      <w:rFonts w:ascii="Arial" w:eastAsia="MS Mincho" w:hAnsi="Arial" w:cs="Arial"/>
      <w:color w:val="000000"/>
      <w:szCs w:val="24"/>
      <w:lang w:val="en-US"/>
    </w:rPr>
  </w:style>
  <w:style w:type="paragraph" w:customStyle="1" w:styleId="SOFinalBodyText">
    <w:name w:val="SO Final Body Text"/>
    <w:link w:val="SOFinalBodyTextCharChar"/>
    <w:rsid w:val="000A2396"/>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0A2396"/>
    <w:rPr>
      <w:rFonts w:ascii="Arial" w:eastAsia="Times New Roman" w:hAnsi="Arial" w:cs="Times New Roman"/>
      <w:color w:val="000000"/>
      <w:szCs w:val="24"/>
      <w:lang w:val="en-US"/>
    </w:rPr>
  </w:style>
  <w:style w:type="paragraph" w:styleId="ListBullet">
    <w:name w:val="List Bullet"/>
    <w:basedOn w:val="Normal"/>
    <w:uiPriority w:val="16"/>
    <w:qFormat/>
    <w:rsid w:val="000A2396"/>
    <w:pPr>
      <w:numPr>
        <w:numId w:val="13"/>
      </w:numPr>
      <w:spacing w:before="120"/>
    </w:pPr>
    <w:rPr>
      <w:color w:val="000000" w:themeColor="text1"/>
    </w:rPr>
  </w:style>
  <w:style w:type="paragraph" w:styleId="ListBullet2">
    <w:name w:val="List Bullet 2"/>
    <w:basedOn w:val="Normal"/>
    <w:uiPriority w:val="16"/>
    <w:qFormat/>
    <w:rsid w:val="000A2396"/>
    <w:pPr>
      <w:numPr>
        <w:ilvl w:val="1"/>
        <w:numId w:val="13"/>
      </w:numPr>
      <w:spacing w:before="120"/>
    </w:pPr>
    <w:rPr>
      <w:color w:val="000000" w:themeColor="text1"/>
    </w:rPr>
  </w:style>
  <w:style w:type="paragraph" w:styleId="ListBullet3">
    <w:name w:val="List Bullet 3"/>
    <w:basedOn w:val="Normal"/>
    <w:uiPriority w:val="16"/>
    <w:qFormat/>
    <w:rsid w:val="000A2396"/>
    <w:pPr>
      <w:numPr>
        <w:ilvl w:val="2"/>
        <w:numId w:val="13"/>
      </w:numPr>
      <w:spacing w:before="120"/>
    </w:pPr>
    <w:rPr>
      <w:color w:val="000000" w:themeColor="text1"/>
    </w:rPr>
  </w:style>
  <w:style w:type="numbering" w:customStyle="1" w:styleId="BulletList">
    <w:name w:val="Bullet List"/>
    <w:uiPriority w:val="99"/>
    <w:rsid w:val="000A2396"/>
    <w:pPr>
      <w:numPr>
        <w:numId w:val="13"/>
      </w:numPr>
    </w:pPr>
  </w:style>
  <w:style w:type="paragraph" w:styleId="BalloonText">
    <w:name w:val="Balloon Text"/>
    <w:basedOn w:val="Normal"/>
    <w:link w:val="BalloonTextChar"/>
    <w:semiHidden/>
    <w:unhideWhenUsed/>
    <w:rsid w:val="00B76F6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76F69"/>
    <w:rPr>
      <w:rFonts w:ascii="Segoe UI" w:hAnsi="Segoe UI" w:cs="Segoe UI"/>
      <w:sz w:val="18"/>
      <w:szCs w:val="18"/>
    </w:rPr>
  </w:style>
  <w:style w:type="paragraph" w:customStyle="1" w:styleId="SAAaBodytext">
    <w:name w:val="SAA (a) Body text"/>
    <w:next w:val="Normal"/>
    <w:qFormat/>
    <w:rsid w:val="00560E6C"/>
    <w:pPr>
      <w:numPr>
        <w:numId w:val="16"/>
      </w:numPr>
      <w:spacing w:before="120" w:after="0" w:line="240" w:lineRule="auto"/>
    </w:pPr>
  </w:style>
  <w:style w:type="paragraph" w:customStyle="1" w:styleId="SAABodytext">
    <w:name w:val="SAA Body text"/>
    <w:next w:val="Normal"/>
    <w:qFormat/>
    <w:rsid w:val="00560E6C"/>
    <w:pPr>
      <w:spacing w:before="120" w:after="0" w:line="240" w:lineRule="auto"/>
    </w:pPr>
    <w:rPr>
      <w:rFonts w:cstheme="minorHAnsi"/>
      <w:bCs/>
      <w:szCs w:val="22"/>
    </w:rPr>
  </w:style>
  <w:style w:type="paragraph" w:customStyle="1" w:styleId="SAABodytextitalics">
    <w:name w:val="SAA Body text (italics)"/>
    <w:next w:val="Normal"/>
    <w:qFormat/>
    <w:rsid w:val="00560E6C"/>
    <w:pPr>
      <w:spacing w:before="160" w:after="0" w:line="240" w:lineRule="auto"/>
    </w:pPr>
    <w:rPr>
      <w:rFonts w:cstheme="minorHAnsi"/>
      <w:bCs/>
      <w:i/>
      <w:szCs w:val="22"/>
    </w:rPr>
  </w:style>
  <w:style w:type="character" w:customStyle="1" w:styleId="SAABold">
    <w:name w:val="SAA Bold"/>
    <w:basedOn w:val="DefaultParagraphFont"/>
    <w:uiPriority w:val="1"/>
    <w:qFormat/>
    <w:rsid w:val="00560E6C"/>
    <w:rPr>
      <w:b/>
    </w:rPr>
  </w:style>
  <w:style w:type="character" w:customStyle="1" w:styleId="SAAbolditalics">
    <w:name w:val="SAA bold italics"/>
    <w:basedOn w:val="SAABold"/>
    <w:uiPriority w:val="1"/>
    <w:qFormat/>
    <w:rsid w:val="00560E6C"/>
    <w:rPr>
      <w:rFonts w:ascii="Roboto Medium" w:hAnsi="Roboto Medium"/>
      <w:b w:val="0"/>
      <w:i/>
    </w:rPr>
  </w:style>
  <w:style w:type="paragraph" w:customStyle="1" w:styleId="SAABullets">
    <w:name w:val="SAA Bullets"/>
    <w:next w:val="Normal"/>
    <w:link w:val="SAABulletsChar"/>
    <w:qFormat/>
    <w:rsid w:val="00560E6C"/>
    <w:pPr>
      <w:numPr>
        <w:numId w:val="17"/>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560E6C"/>
    <w:rPr>
      <w:rFonts w:cstheme="minorHAnsi"/>
      <w:bCs/>
      <w:szCs w:val="22"/>
    </w:rPr>
  </w:style>
  <w:style w:type="paragraph" w:customStyle="1" w:styleId="SAAHeading1">
    <w:name w:val="SAA Heading 1"/>
    <w:next w:val="Normal"/>
    <w:qFormat/>
    <w:rsid w:val="00560E6C"/>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560E6C"/>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560E6C"/>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560E6C"/>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560E6C"/>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560E6C"/>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560E6C"/>
    <w:pPr>
      <w:spacing w:before="240" w:after="120" w:line="240" w:lineRule="auto"/>
    </w:pPr>
    <w:rPr>
      <w:rFonts w:eastAsiaTheme="majorEastAsia" w:cstheme="majorBidi"/>
      <w:bCs/>
      <w:szCs w:val="22"/>
    </w:rPr>
  </w:style>
  <w:style w:type="paragraph" w:customStyle="1" w:styleId="SAAHeading6">
    <w:name w:val="SAA Heading 6"/>
    <w:next w:val="Normal"/>
    <w:qFormat/>
    <w:rsid w:val="00560E6C"/>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560E6C"/>
    <w:rPr>
      <w:i/>
    </w:rPr>
  </w:style>
  <w:style w:type="paragraph" w:customStyle="1" w:styleId="SAAQuestion12etc">
    <w:name w:val="SAA Question 1 2 etc"/>
    <w:next w:val="Normal"/>
    <w:qFormat/>
    <w:rsid w:val="00560E6C"/>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560E6C"/>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268d94e6a8b44881"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A886916</value>
    </field>
    <field name="Objective-Title">
      <value order="0">2019 Philosophy Subject Assessment Advice</value>
    </field>
    <field name="Objective-Description">
      <value order="0"/>
    </field>
    <field name="Objective-CreationStamp">
      <value order="0">2019-12-19T01:50:55Z</value>
    </field>
    <field name="Objective-IsApproved">
      <value order="0">false</value>
    </field>
    <field name="Objective-IsPublished">
      <value order="0">true</value>
    </field>
    <field name="Objective-DatePublished">
      <value order="0">2020-01-14T23:35:50Z</value>
    </field>
    <field name="Objective-ModificationStamp">
      <value order="0">2020-01-14T23:35:51Z</value>
    </field>
    <field name="Objective-Owner">
      <value order="0">Karen Collins</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vA1530177</value>
    </field>
    <field name="Objective-Version">
      <value order="0">3.0</value>
    </field>
    <field name="Objective-VersionNumber">
      <value order="0">7</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8734E61-8F56-4603-B1D2-2E473874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33</cp:revision>
  <cp:lastPrinted>2019-12-19T01:15:00Z</cp:lastPrinted>
  <dcterms:created xsi:type="dcterms:W3CDTF">2017-11-06T07:47:00Z</dcterms:created>
  <dcterms:modified xsi:type="dcterms:W3CDTF">2020-01-14T23:35:00Z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A886916</vt:lpwstr>
  </property>
  <property fmtid="{D5CDD505-2E9C-101B-9397-08002B2CF9AE}" pid="4" name="Objective-Title">
    <vt:lpwstr>2019 Philosophy Subject Assessment Advice</vt:lpwstr>
  </property>
  <property fmtid="{D5CDD505-2E9C-101B-9397-08002B2CF9AE}" pid="5" name="Objective-Description">
    <vt:lpwstr/>
  </property>
  <property fmtid="{D5CDD505-2E9C-101B-9397-08002B2CF9AE}" pid="6" name="Objective-CreationStamp">
    <vt:filetime>2019-12-19T01:50:55Z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2020-01-14T23:35:50Z</vt:filetime>
  </property>
  <property fmtid="{D5CDD505-2E9C-101B-9397-08002B2CF9AE}" pid="10" name="Objective-ModificationStamp">
    <vt:filetime>2020-01-14T23:35:51Z</vt:filetime>
  </property>
  <property fmtid="{D5CDD505-2E9C-101B-9397-08002B2CF9AE}" pid="11" name="Objective-Owner">
    <vt:lpwstr>Karen Collins</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vA1530177</vt:lpwstr>
  </property>
  <property fmtid="{D5CDD505-2E9C-101B-9397-08002B2CF9AE}" pid="16" name="Objective-Version">
    <vt:lpwstr>3.0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