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717E89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717E89">
        <w:rPr>
          <w:rFonts w:cs="Arial"/>
          <w:b/>
          <w:bCs/>
          <w:sz w:val="28"/>
          <w:szCs w:val="28"/>
        </w:rPr>
        <w:t>Geography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314AD1" w:rsidP="00BA2185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314AD1" w:rsidP="00BA218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314AD1" w:rsidP="00BA2185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bookmarkStart w:id="0" w:name="_GoBack"/>
            <w:bookmarkEnd w:id="0"/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9"/>
          <w:footerReference w:type="first" r:id="rId10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717E89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717E89">
        <w:t>Geography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501"/>
        <w:gridCol w:w="944"/>
        <w:gridCol w:w="803"/>
        <w:gridCol w:w="804"/>
        <w:gridCol w:w="4111"/>
      </w:tblGrid>
      <w:tr w:rsidR="002A53B7" w:rsidRPr="004963F3" w:rsidTr="00EB186C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50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2A53B7" w:rsidRPr="004963F3" w:rsidTr="00EB186C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01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K&amp;U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AE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Ap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A53B7" w:rsidRPr="004963F3" w:rsidTr="00EB186C">
        <w:trPr>
          <w:trHeight w:val="1317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A53B7" w:rsidRPr="00F40B4F" w:rsidRDefault="00717E89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Geographical Skills and Applications</w:t>
            </w: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="001536D8">
              <w:rPr>
                <w:b/>
                <w:lang w:val="en-US"/>
              </w:rPr>
              <w:t>7</w:t>
            </w:r>
            <w:r w:rsidR="004B3C28">
              <w:rPr>
                <w:b/>
                <w:lang w:val="en-US"/>
              </w:rPr>
              <w:t>0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501" w:type="dxa"/>
            <w:shd w:val="clear" w:color="auto" w:fill="auto"/>
          </w:tcPr>
          <w:p w:rsidR="00B83F3B" w:rsidRPr="00A435FD" w:rsidRDefault="002E2C03" w:rsidP="00B83F3B">
            <w:pPr>
              <w:pStyle w:val="ACLAPTableText"/>
              <w:rPr>
                <w:sz w:val="16"/>
                <w:szCs w:val="16"/>
              </w:rPr>
            </w:pPr>
            <w:r w:rsidRPr="00A435FD">
              <w:rPr>
                <w:b/>
                <w:sz w:val="16"/>
                <w:szCs w:val="16"/>
              </w:rPr>
              <w:t xml:space="preserve">Contemporary Issues (Local) </w:t>
            </w:r>
            <w:r w:rsidRPr="00A435FD">
              <w:rPr>
                <w:sz w:val="16"/>
                <w:szCs w:val="16"/>
              </w:rPr>
              <w:t>D</w:t>
            </w:r>
            <w:r w:rsidR="00555468" w:rsidRPr="00A435FD">
              <w:rPr>
                <w:sz w:val="16"/>
                <w:szCs w:val="16"/>
              </w:rPr>
              <w:t>ecision-making exercise based on a loca</w:t>
            </w:r>
            <w:r w:rsidR="00B83F3B" w:rsidRPr="00A435FD">
              <w:rPr>
                <w:sz w:val="16"/>
                <w:szCs w:val="16"/>
              </w:rPr>
              <w:t>l issue e.g.</w:t>
            </w:r>
            <w:r w:rsidR="001536D8">
              <w:rPr>
                <w:sz w:val="16"/>
                <w:szCs w:val="16"/>
              </w:rPr>
              <w:t xml:space="preserve"> the best location for a</w:t>
            </w:r>
            <w:r w:rsidR="00555468" w:rsidRPr="00A435FD">
              <w:rPr>
                <w:sz w:val="16"/>
                <w:szCs w:val="16"/>
              </w:rPr>
              <w:t xml:space="preserve"> proposed development of a new fast food </w:t>
            </w:r>
            <w:r w:rsidR="00D6269E" w:rsidRPr="00A435FD">
              <w:rPr>
                <w:sz w:val="16"/>
                <w:szCs w:val="16"/>
              </w:rPr>
              <w:t xml:space="preserve">drive through </w:t>
            </w:r>
            <w:r w:rsidR="00555468" w:rsidRPr="00A435FD">
              <w:rPr>
                <w:sz w:val="16"/>
                <w:szCs w:val="16"/>
              </w:rPr>
              <w:t>restaurant</w:t>
            </w:r>
            <w:r w:rsidR="00A435FD">
              <w:rPr>
                <w:sz w:val="16"/>
                <w:szCs w:val="16"/>
              </w:rPr>
              <w:t>.</w:t>
            </w:r>
            <w:r w:rsidRPr="00A435FD">
              <w:rPr>
                <w:sz w:val="16"/>
                <w:szCs w:val="16"/>
              </w:rPr>
              <w:t xml:space="preserve"> </w:t>
            </w:r>
            <w:r w:rsidR="00555468" w:rsidRPr="00A435FD">
              <w:rPr>
                <w:sz w:val="16"/>
                <w:szCs w:val="16"/>
              </w:rPr>
              <w:t xml:space="preserve">Students analyse and interpret a variety of geographical data to select the best location for the proposed development.  </w:t>
            </w:r>
            <w:r w:rsidR="00B83F3B" w:rsidRPr="00A435FD">
              <w:rPr>
                <w:sz w:val="16"/>
                <w:szCs w:val="16"/>
              </w:rPr>
              <w:t xml:space="preserve">This data, in paper or GIS format, </w:t>
            </w:r>
            <w:r w:rsidR="00D6269E">
              <w:rPr>
                <w:sz w:val="16"/>
                <w:szCs w:val="16"/>
              </w:rPr>
              <w:t>can include</w:t>
            </w:r>
            <w:r w:rsidR="00B83F3B" w:rsidRPr="00A435FD">
              <w:rPr>
                <w:sz w:val="16"/>
                <w:szCs w:val="16"/>
              </w:rPr>
              <w:t xml:space="preserve"> maps, economic information on jobs and projected income for the local area, environmental qu</w:t>
            </w:r>
            <w:r w:rsidR="00A435FD">
              <w:rPr>
                <w:sz w:val="16"/>
                <w:szCs w:val="16"/>
              </w:rPr>
              <w:t>ality surveys</w:t>
            </w:r>
            <w:r w:rsidR="00B83F3B" w:rsidRPr="00A435FD">
              <w:rPr>
                <w:sz w:val="16"/>
                <w:szCs w:val="16"/>
              </w:rPr>
              <w:t>, and data on local businesses and organisations</w:t>
            </w:r>
            <w:r w:rsidR="001536D8">
              <w:rPr>
                <w:sz w:val="16"/>
                <w:szCs w:val="16"/>
              </w:rPr>
              <w:t xml:space="preserve"> such as schools</w:t>
            </w:r>
            <w:r w:rsidR="00B83F3B" w:rsidRPr="00A435FD">
              <w:rPr>
                <w:sz w:val="16"/>
                <w:szCs w:val="16"/>
              </w:rPr>
              <w:t xml:space="preserve">.  </w:t>
            </w:r>
          </w:p>
          <w:p w:rsidR="002A53B7" w:rsidRPr="002E2C03" w:rsidRDefault="00B83F3B" w:rsidP="00B83F3B">
            <w:pPr>
              <w:pStyle w:val="ACLAPTableText"/>
              <w:rPr>
                <w:sz w:val="18"/>
                <w:szCs w:val="18"/>
              </w:rPr>
            </w:pPr>
            <w:r w:rsidRPr="00A435FD">
              <w:rPr>
                <w:sz w:val="16"/>
                <w:szCs w:val="16"/>
              </w:rPr>
              <w:t xml:space="preserve">Students produce a map </w:t>
            </w:r>
            <w:r w:rsidR="00A435FD">
              <w:rPr>
                <w:sz w:val="16"/>
                <w:szCs w:val="16"/>
              </w:rPr>
              <w:t>identifying their choice of best location for the development and present their justification for this location based on the infor</w:t>
            </w:r>
            <w:r w:rsidR="00797F98">
              <w:rPr>
                <w:sz w:val="16"/>
                <w:szCs w:val="16"/>
              </w:rPr>
              <w:t xml:space="preserve">mation provided.   Students </w:t>
            </w:r>
            <w:r w:rsidR="00A435FD">
              <w:rPr>
                <w:sz w:val="16"/>
                <w:szCs w:val="16"/>
              </w:rPr>
              <w:t>present their justification in an oral or multimodal format.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435FD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KU1</w:t>
            </w:r>
          </w:p>
          <w:p w:rsidR="002A53B7" w:rsidRPr="00A435FD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 w:rsidRPr="00A435FD">
              <w:rPr>
                <w:sz w:val="16"/>
                <w:szCs w:val="16"/>
                <w:lang w:val="en-US"/>
              </w:rPr>
              <w:t>KU2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53B7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AE2</w:t>
            </w:r>
          </w:p>
          <w:p w:rsidR="00A435FD" w:rsidRPr="00A435FD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2A53B7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Ap1</w:t>
            </w:r>
          </w:p>
          <w:p w:rsidR="00A435FD" w:rsidRPr="00A435FD" w:rsidRDefault="00A435F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2A53B7" w:rsidRDefault="00A435FD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week of class time to analyse data and prepare </w:t>
            </w:r>
            <w:r w:rsidR="006461BC">
              <w:rPr>
                <w:sz w:val="16"/>
                <w:szCs w:val="16"/>
              </w:rPr>
              <w:t xml:space="preserve">map and </w:t>
            </w:r>
            <w:r>
              <w:rPr>
                <w:sz w:val="16"/>
                <w:szCs w:val="16"/>
              </w:rPr>
              <w:t>presentation.</w:t>
            </w:r>
          </w:p>
          <w:p w:rsidR="00A435FD" w:rsidRDefault="00A435FD" w:rsidP="00BA2185">
            <w:pPr>
              <w:pStyle w:val="ACLAPTableText"/>
              <w:rPr>
                <w:sz w:val="16"/>
                <w:szCs w:val="16"/>
              </w:rPr>
            </w:pPr>
          </w:p>
          <w:p w:rsidR="00A435FD" w:rsidRPr="00A435FD" w:rsidRDefault="006461BC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Maximum of 5 minutes for an oral or multimodal presentation. </w:t>
            </w:r>
          </w:p>
        </w:tc>
      </w:tr>
      <w:tr w:rsidR="00882DF1" w:rsidRPr="004963F3" w:rsidTr="00EB186C">
        <w:trPr>
          <w:trHeight w:val="1294"/>
        </w:trPr>
        <w:tc>
          <w:tcPr>
            <w:tcW w:w="1396" w:type="dxa"/>
            <w:vMerge/>
            <w:shd w:val="clear" w:color="auto" w:fill="auto"/>
            <w:vAlign w:val="center"/>
          </w:tcPr>
          <w:p w:rsidR="00882DF1" w:rsidRPr="00F40B4F" w:rsidRDefault="00882DF1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</w:tcPr>
          <w:p w:rsidR="00882DF1" w:rsidRDefault="00E16A83" w:rsidP="00854BCD">
            <w:pPr>
              <w:pStyle w:val="ACLAPTable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Natural Hazards </w:t>
            </w:r>
            <w:r>
              <w:rPr>
                <w:sz w:val="16"/>
                <w:szCs w:val="16"/>
              </w:rPr>
              <w:t>A comparative study of a geomorphic hazard event in a developed country and in a developing country.  Students chose from either, a volcanic eruption, earthquake or tsunami to compare.  Students research the cause of the hazard in each location and the vulnerability</w:t>
            </w:r>
            <w:r w:rsidR="00CA40F4">
              <w:rPr>
                <w:sz w:val="16"/>
                <w:szCs w:val="16"/>
              </w:rPr>
              <w:t xml:space="preserve"> and level of risk</w:t>
            </w:r>
            <w:r w:rsidR="002614DE">
              <w:rPr>
                <w:sz w:val="16"/>
                <w:szCs w:val="16"/>
              </w:rPr>
              <w:t>, including social factors,</w:t>
            </w:r>
            <w:r w:rsidR="00CA40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each location to the hazard.  Students investigate</w:t>
            </w:r>
            <w:r w:rsidR="00854BCD">
              <w:rPr>
                <w:sz w:val="16"/>
                <w:szCs w:val="16"/>
              </w:rPr>
              <w:t xml:space="preserve"> and compare</w:t>
            </w:r>
            <w:r>
              <w:rPr>
                <w:sz w:val="16"/>
                <w:szCs w:val="16"/>
              </w:rPr>
              <w:t xml:space="preserve"> </w:t>
            </w:r>
            <w:r w:rsidR="00854BCD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local, nation</w:t>
            </w:r>
            <w:r w:rsidR="00854BCD">
              <w:rPr>
                <w:sz w:val="16"/>
                <w:szCs w:val="16"/>
              </w:rPr>
              <w:t xml:space="preserve">al and global responses to the disaster at each location. </w:t>
            </w:r>
          </w:p>
          <w:p w:rsidR="00854BCD" w:rsidRPr="00E16A83" w:rsidRDefault="00854BCD" w:rsidP="00854BCD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comparative study is presented as a news item, either as a newspaper article, TV or radio report, or a news web page.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2DF1" w:rsidRPr="00E16A83" w:rsidRDefault="00854BC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KU2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2DF1" w:rsidRPr="00E16A83" w:rsidRDefault="00854BC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AE1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82DF1" w:rsidRPr="00E16A83" w:rsidRDefault="00854BCD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Ap2</w:t>
            </w:r>
          </w:p>
        </w:tc>
        <w:tc>
          <w:tcPr>
            <w:tcW w:w="4111" w:type="dxa"/>
            <w:shd w:val="clear" w:color="auto" w:fill="auto"/>
          </w:tcPr>
          <w:p w:rsidR="00854BCD" w:rsidRDefault="00854BCD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 class time and students’ own time to research and compile data</w:t>
            </w:r>
            <w:r w:rsidR="003D62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prepare news item.</w:t>
            </w:r>
          </w:p>
          <w:p w:rsidR="00854BCD" w:rsidRDefault="00854BCD" w:rsidP="00BA2185">
            <w:pPr>
              <w:pStyle w:val="ACLAPTableText"/>
              <w:rPr>
                <w:sz w:val="16"/>
                <w:szCs w:val="16"/>
              </w:rPr>
            </w:pPr>
          </w:p>
          <w:p w:rsidR="00854BCD" w:rsidRPr="00E16A83" w:rsidRDefault="00854BCD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Maximum of 800 words or 5 minutes for oral or multimodal response.</w:t>
            </w:r>
          </w:p>
        </w:tc>
      </w:tr>
      <w:tr w:rsidR="002A53B7" w:rsidRPr="004963F3" w:rsidTr="00EB186C">
        <w:trPr>
          <w:trHeight w:val="1294"/>
        </w:trPr>
        <w:tc>
          <w:tcPr>
            <w:tcW w:w="1396" w:type="dxa"/>
            <w:vMerge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</w:tcPr>
          <w:p w:rsidR="002A53B7" w:rsidRDefault="00B52F49" w:rsidP="00882DF1">
            <w:pPr>
              <w:pStyle w:val="ACLAPTable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Biological and Human-induced Hazards </w:t>
            </w:r>
            <w:r w:rsidR="00797F98">
              <w:rPr>
                <w:sz w:val="16"/>
                <w:szCs w:val="16"/>
              </w:rPr>
              <w:t xml:space="preserve">Students </w:t>
            </w:r>
            <w:r>
              <w:rPr>
                <w:sz w:val="16"/>
                <w:szCs w:val="16"/>
              </w:rPr>
              <w:t>select either the Fukushima nuclear power station disaster or a current act of terrorism</w:t>
            </w:r>
            <w:r w:rsidR="002614DE">
              <w:rPr>
                <w:sz w:val="16"/>
                <w:szCs w:val="16"/>
              </w:rPr>
              <w:t xml:space="preserve"> to research</w:t>
            </w:r>
            <w:r w:rsidR="00D6269E">
              <w:rPr>
                <w:sz w:val="16"/>
                <w:szCs w:val="16"/>
              </w:rPr>
              <w:t>.  Students</w:t>
            </w:r>
            <w:r>
              <w:rPr>
                <w:sz w:val="16"/>
                <w:szCs w:val="16"/>
              </w:rPr>
              <w:t xml:space="preserve"> individually investigate the social, economic and environmental impacts of their case study hazard.  They will gather and analyse information to determine these impacts on the local population and environment</w:t>
            </w:r>
            <w:r w:rsidR="00DB6BF3">
              <w:rPr>
                <w:sz w:val="16"/>
                <w:szCs w:val="16"/>
              </w:rPr>
              <w:t>, and examine the national and global consequences including, the effects on</w:t>
            </w:r>
            <w:r w:rsidR="00CA40F4">
              <w:rPr>
                <w:sz w:val="16"/>
                <w:szCs w:val="16"/>
              </w:rPr>
              <w:t xml:space="preserve"> travel,</w:t>
            </w:r>
            <w:r w:rsidR="00DB6BF3">
              <w:rPr>
                <w:sz w:val="16"/>
                <w:szCs w:val="16"/>
              </w:rPr>
              <w:t xml:space="preserve"> trade and global relationships.</w:t>
            </w:r>
          </w:p>
          <w:p w:rsidR="00DB6BF3" w:rsidRPr="00B52F49" w:rsidRDefault="00DB6BF3" w:rsidP="00882DF1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present their findings as a written or oral report, PowerPoint or multimodal p</w:t>
            </w:r>
            <w:r w:rsidR="00CA40F4">
              <w:rPr>
                <w:sz w:val="16"/>
                <w:szCs w:val="16"/>
              </w:rPr>
              <w:t>resentation, a web page or blog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53B7" w:rsidRPr="00E16A83" w:rsidRDefault="00DB6BF3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KU1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53B7" w:rsidRPr="00E16A83" w:rsidRDefault="00DB6BF3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AE1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2A53B7" w:rsidRPr="00E16A83" w:rsidRDefault="00C14773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Ap2</w:t>
            </w:r>
          </w:p>
        </w:tc>
        <w:tc>
          <w:tcPr>
            <w:tcW w:w="4111" w:type="dxa"/>
            <w:shd w:val="clear" w:color="auto" w:fill="auto"/>
          </w:tcPr>
          <w:p w:rsidR="002A53B7" w:rsidRDefault="00DB6BF3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weeks class time and students’ own time to research and prepare findings.</w:t>
            </w:r>
          </w:p>
          <w:p w:rsidR="00DB6BF3" w:rsidRDefault="00DB6BF3" w:rsidP="00BA2185">
            <w:pPr>
              <w:pStyle w:val="ACLAPTableText"/>
              <w:rPr>
                <w:sz w:val="16"/>
                <w:szCs w:val="16"/>
              </w:rPr>
            </w:pPr>
          </w:p>
          <w:p w:rsidR="00DB6BF3" w:rsidRPr="00E16A83" w:rsidRDefault="00DB6BF3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Maximum of 800 word or 5 minutes for oral or multimodal response.</w:t>
            </w:r>
          </w:p>
        </w:tc>
      </w:tr>
      <w:tr w:rsidR="002A53B7" w:rsidRPr="004963F3" w:rsidTr="00EB186C">
        <w:trPr>
          <w:trHeight w:val="1307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F40B4F" w:rsidRDefault="00717E89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Fieldwork</w:t>
            </w: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2A53B7" w:rsidRPr="00F40B4F" w:rsidRDefault="001536D8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A53B7"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501" w:type="dxa"/>
            <w:tcBorders>
              <w:top w:val="single" w:sz="12" w:space="0" w:color="auto"/>
            </w:tcBorders>
            <w:shd w:val="clear" w:color="auto" w:fill="auto"/>
          </w:tcPr>
          <w:p w:rsidR="00C14773" w:rsidRDefault="00337FA2" w:rsidP="008A1480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Contemporary Issues (Local)/ Natural Hazards </w:t>
            </w:r>
            <w:r w:rsidR="00AB136E">
              <w:rPr>
                <w:sz w:val="16"/>
                <w:szCs w:val="16"/>
                <w:lang w:val="en-US"/>
              </w:rPr>
              <w:t>Students participate in supervised field work excursions to 3 bushfire affected locations in the Adelaide Hills.  Students collaboratively investigate the regeneration of vegetation in the 3 areas affected by bushfires.</w:t>
            </w:r>
            <w:r w:rsidR="000312C4">
              <w:rPr>
                <w:sz w:val="16"/>
                <w:szCs w:val="16"/>
                <w:lang w:val="en-US"/>
              </w:rPr>
              <w:t xml:space="preserve">  Students use a range of fieldwork techniques to </w:t>
            </w:r>
            <w:r w:rsidR="008A1480">
              <w:rPr>
                <w:sz w:val="16"/>
                <w:szCs w:val="16"/>
                <w:lang w:val="en-US"/>
              </w:rPr>
              <w:t>observe, m</w:t>
            </w:r>
            <w:r w:rsidR="00797F98">
              <w:rPr>
                <w:sz w:val="16"/>
                <w:szCs w:val="16"/>
                <w:lang w:val="en-US"/>
              </w:rPr>
              <w:t xml:space="preserve">easure and record data.  This data could include, </w:t>
            </w:r>
            <w:r w:rsidR="008A1480">
              <w:rPr>
                <w:sz w:val="16"/>
                <w:szCs w:val="16"/>
                <w:lang w:val="en-US"/>
              </w:rPr>
              <w:t xml:space="preserve">vegetation type, </w:t>
            </w:r>
            <w:r w:rsidR="00D6269E">
              <w:rPr>
                <w:sz w:val="16"/>
                <w:szCs w:val="16"/>
                <w:lang w:val="en-US"/>
              </w:rPr>
              <w:t>amount and regrowth levels, and</w:t>
            </w:r>
            <w:r w:rsidR="008A1480">
              <w:rPr>
                <w:sz w:val="16"/>
                <w:szCs w:val="16"/>
                <w:lang w:val="en-US"/>
              </w:rPr>
              <w:t xml:space="preserve"> soil pH, moisture and nutrient content.  </w:t>
            </w:r>
          </w:p>
          <w:p w:rsidR="00740E91" w:rsidRDefault="00C14773" w:rsidP="008A1480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Individually, s</w:t>
            </w:r>
            <w:r w:rsidR="008A1480">
              <w:rPr>
                <w:sz w:val="16"/>
                <w:szCs w:val="16"/>
                <w:lang w:val="en-US"/>
              </w:rPr>
              <w:t>tudents critically analyse the impact of the bushfires on the natural environment and its subsequent recovery</w:t>
            </w:r>
            <w:r w:rsidR="00740E91">
              <w:rPr>
                <w:sz w:val="16"/>
                <w:szCs w:val="16"/>
                <w:lang w:val="en-US"/>
              </w:rPr>
              <w:t xml:space="preserve"> in each location</w:t>
            </w:r>
            <w:r w:rsidR="008A1480">
              <w:rPr>
                <w:sz w:val="16"/>
                <w:szCs w:val="16"/>
                <w:lang w:val="en-US"/>
              </w:rPr>
              <w:t>,</w:t>
            </w:r>
            <w:r w:rsidR="00740E91">
              <w:rPr>
                <w:sz w:val="16"/>
                <w:szCs w:val="16"/>
                <w:lang w:val="en-US"/>
              </w:rPr>
              <w:t xml:space="preserve"> and </w:t>
            </w:r>
            <w:r>
              <w:rPr>
                <w:sz w:val="16"/>
                <w:szCs w:val="16"/>
                <w:lang w:val="en-US"/>
              </w:rPr>
              <w:t xml:space="preserve">undertake </w:t>
            </w:r>
            <w:r w:rsidR="00740E91">
              <w:rPr>
                <w:sz w:val="16"/>
                <w:szCs w:val="16"/>
                <w:lang w:val="en-US"/>
              </w:rPr>
              <w:t>a comparative analysis of the impacts across the locations.</w:t>
            </w:r>
          </w:p>
          <w:p w:rsidR="008A1480" w:rsidRPr="00337FA2" w:rsidRDefault="00740E91" w:rsidP="008A1480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Students produce an individual report on their findings in the form of a written report, broadsheet , PowerPoint presentation, multimodal presentation or web page.  Students should include a variety of visual representations of their geographical data, including at least one map.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Pr="00E16A83" w:rsidRDefault="002A53B7" w:rsidP="00BA2185">
            <w:pPr>
              <w:pStyle w:val="ACLAPTableText"/>
              <w:rPr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Default="00740E91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AE2</w:t>
            </w:r>
          </w:p>
          <w:p w:rsidR="00740E91" w:rsidRPr="00E16A83" w:rsidRDefault="00740E91" w:rsidP="00BA2185">
            <w:pPr>
              <w:pStyle w:val="ACLAPTableText"/>
              <w:rPr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3B7" w:rsidRDefault="00740E91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Ap1</w:t>
            </w:r>
          </w:p>
          <w:p w:rsidR="00740E91" w:rsidRPr="00E16A83" w:rsidRDefault="00740E91" w:rsidP="00BA2185">
            <w:pPr>
              <w:pStyle w:val="ACLAPTableTex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Ap2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2A53B7" w:rsidRDefault="00D6269E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Supervised </w:t>
            </w:r>
            <w:r w:rsidR="001561BA">
              <w:rPr>
                <w:sz w:val="16"/>
                <w:szCs w:val="16"/>
              </w:rPr>
              <w:t>teacher led fieldwork trips.</w:t>
            </w:r>
          </w:p>
          <w:p w:rsidR="001561BA" w:rsidRDefault="001561BA" w:rsidP="00BA2185">
            <w:pPr>
              <w:pStyle w:val="ACLAPTableText"/>
              <w:rPr>
                <w:sz w:val="16"/>
                <w:szCs w:val="16"/>
              </w:rPr>
            </w:pPr>
          </w:p>
          <w:p w:rsidR="001561BA" w:rsidRDefault="001561BA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 class time for familiarisation with fieldwork equipment and measurement techniques.</w:t>
            </w:r>
          </w:p>
          <w:p w:rsidR="001561BA" w:rsidRDefault="001561BA" w:rsidP="00BA2185">
            <w:pPr>
              <w:pStyle w:val="ACLAPTableText"/>
              <w:rPr>
                <w:sz w:val="16"/>
                <w:szCs w:val="16"/>
              </w:rPr>
            </w:pPr>
          </w:p>
          <w:p w:rsidR="001561BA" w:rsidRDefault="001561BA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weeks class time and students’ own time to finalise report.</w:t>
            </w:r>
          </w:p>
          <w:p w:rsidR="001561BA" w:rsidRDefault="001561BA" w:rsidP="00BA2185">
            <w:pPr>
              <w:pStyle w:val="ACLAPTableText"/>
              <w:rPr>
                <w:sz w:val="16"/>
                <w:szCs w:val="16"/>
              </w:rPr>
            </w:pPr>
          </w:p>
          <w:p w:rsidR="001561BA" w:rsidRPr="00E16A83" w:rsidRDefault="001561BA" w:rsidP="00BA2185">
            <w:pPr>
              <w:pStyle w:val="ACLAP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Maximum of 1000 words or 6 minutes for oral or multimodal response.</w:t>
            </w:r>
          </w:p>
        </w:tc>
      </w:tr>
    </w:tbl>
    <w:p w:rsidR="002A53B7" w:rsidRPr="00A45A49" w:rsidRDefault="002A53B7" w:rsidP="002A53B7"/>
    <w:p w:rsidR="002A53B7" w:rsidRDefault="002A53B7" w:rsidP="00104C5F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104C5F">
        <w:rPr>
          <w:rFonts w:cs="Arial"/>
          <w:i/>
          <w:iCs/>
          <w:sz w:val="20"/>
          <w:szCs w:val="20"/>
          <w:lang w:val="en-US"/>
        </w:rPr>
        <w:t>Geography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1"/>
      <w:footerReference w:type="first" r:id="rId12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33" w:rsidRDefault="00566833">
      <w:r>
        <w:separator/>
      </w:r>
    </w:p>
  </w:endnote>
  <w:endnote w:type="continuationSeparator" w:id="0">
    <w:p w:rsidR="00566833" w:rsidRDefault="0056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314AD1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314AD1">
        <w:rPr>
          <w:noProof/>
        </w:rPr>
        <w:t>2</w:t>
      </w:r>
    </w:fldSimple>
  </w:p>
  <w:p w:rsidR="002A53B7" w:rsidRDefault="002A53B7" w:rsidP="00314AD1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14AD1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14AD1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17E89">
      <w:t>Geography</w:t>
    </w:r>
    <w:r>
      <w:t xml:space="preserve"> pre-approved </w:t>
    </w:r>
    <w:r w:rsidR="00314AD1">
      <w:t>LAP-02</w:t>
    </w:r>
    <w:r w:rsidR="00E021FF">
      <w:t xml:space="preserve"> (for use from 2017</w:t>
    </w:r>
    <w:r>
      <w:t>)</w:t>
    </w:r>
  </w:p>
  <w:p w:rsidR="002A53B7" w:rsidRPr="00AD3BD3" w:rsidRDefault="002A53B7" w:rsidP="00314AD1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314AD1">
        <w:t>A498283</w:t>
      </w:r>
    </w:fldSimple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314AD1">
      <w:t>October 2016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314AD1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14AD1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14AD1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314AD1">
      <w:t>Geography pre</w:t>
    </w:r>
    <w:r w:rsidR="002A53B7">
      <w:t>-approved</w:t>
    </w:r>
    <w:r>
      <w:t xml:space="preserve"> </w:t>
    </w:r>
    <w:r w:rsidR="00314AD1">
      <w:t>LAP-02</w:t>
    </w:r>
    <w:r w:rsidR="00E021FF">
      <w:t xml:space="preserve"> (for use from 2017</w:t>
    </w:r>
    <w:r>
      <w:t>)</w:t>
    </w:r>
  </w:p>
  <w:p w:rsidR="00BA2185" w:rsidRPr="00AD3BD3" w:rsidRDefault="00BA2185" w:rsidP="00314AD1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314AD1">
        <w:t>A498283</w:t>
      </w:r>
    </w:fldSimple>
    <w:r w:rsidR="00D732EE" w:rsidRPr="00AD3BD3">
      <w:t xml:space="preserve"> </w:t>
    </w:r>
    <w:r w:rsidRPr="00AD3BD3">
      <w:t>(</w:t>
    </w:r>
    <w:r w:rsidR="00717E89">
      <w:t xml:space="preserve">created </w:t>
    </w:r>
    <w:r w:rsidR="00314AD1">
      <w:t>October 2016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33" w:rsidRDefault="00566833">
      <w:r>
        <w:separator/>
      </w:r>
    </w:p>
  </w:footnote>
  <w:footnote w:type="continuationSeparator" w:id="0">
    <w:p w:rsidR="00566833" w:rsidRDefault="0056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566833">
    <w:pPr>
      <w:pStyle w:val="Header"/>
    </w:pPr>
    <w:r>
      <w:rPr>
        <w:caps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1pt;height:47.6pt">
          <v:imagedata r:id="rId1" o:title="SACEBoard_co-brand_logo"/>
          <o:lock v:ext="edit" aspectratio="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979"/>
    <w:rsid w:val="000009FF"/>
    <w:rsid w:val="00004C25"/>
    <w:rsid w:val="000055A5"/>
    <w:rsid w:val="00007263"/>
    <w:rsid w:val="000132C7"/>
    <w:rsid w:val="00015A5A"/>
    <w:rsid w:val="00024A5F"/>
    <w:rsid w:val="00024A83"/>
    <w:rsid w:val="000312C4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4C5F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536D8"/>
    <w:rsid w:val="001561BA"/>
    <w:rsid w:val="00164004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14DE"/>
    <w:rsid w:val="002627F2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3E59"/>
    <w:rsid w:val="002D5CF0"/>
    <w:rsid w:val="002D7CEB"/>
    <w:rsid w:val="002E0C15"/>
    <w:rsid w:val="002E2C03"/>
    <w:rsid w:val="002E5884"/>
    <w:rsid w:val="002F2F32"/>
    <w:rsid w:val="00314AD1"/>
    <w:rsid w:val="003221A6"/>
    <w:rsid w:val="00325B01"/>
    <w:rsid w:val="00325D7E"/>
    <w:rsid w:val="00327F6B"/>
    <w:rsid w:val="00332C7C"/>
    <w:rsid w:val="0033343E"/>
    <w:rsid w:val="00336339"/>
    <w:rsid w:val="00337FA2"/>
    <w:rsid w:val="0035087B"/>
    <w:rsid w:val="003561C1"/>
    <w:rsid w:val="00356D46"/>
    <w:rsid w:val="0035729B"/>
    <w:rsid w:val="003670B3"/>
    <w:rsid w:val="00376BA9"/>
    <w:rsid w:val="0038004F"/>
    <w:rsid w:val="003961F5"/>
    <w:rsid w:val="003962A6"/>
    <w:rsid w:val="003A1DE1"/>
    <w:rsid w:val="003A3B7E"/>
    <w:rsid w:val="003A487C"/>
    <w:rsid w:val="003A6317"/>
    <w:rsid w:val="003A7728"/>
    <w:rsid w:val="003B3C11"/>
    <w:rsid w:val="003C11D1"/>
    <w:rsid w:val="003C79B5"/>
    <w:rsid w:val="003D1161"/>
    <w:rsid w:val="003D623A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265C"/>
    <w:rsid w:val="004A4FF7"/>
    <w:rsid w:val="004B3C28"/>
    <w:rsid w:val="004C0B24"/>
    <w:rsid w:val="004C3EBC"/>
    <w:rsid w:val="004C6ABF"/>
    <w:rsid w:val="004D254A"/>
    <w:rsid w:val="004D4BEC"/>
    <w:rsid w:val="004E18D1"/>
    <w:rsid w:val="004F44CC"/>
    <w:rsid w:val="00503362"/>
    <w:rsid w:val="00503DEA"/>
    <w:rsid w:val="005068CA"/>
    <w:rsid w:val="00511F01"/>
    <w:rsid w:val="00523C7B"/>
    <w:rsid w:val="005250F2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55468"/>
    <w:rsid w:val="00566833"/>
    <w:rsid w:val="005722B0"/>
    <w:rsid w:val="005859E4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055F"/>
    <w:rsid w:val="006461BC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C5FE3"/>
    <w:rsid w:val="006D25CE"/>
    <w:rsid w:val="006F4851"/>
    <w:rsid w:val="00700E3E"/>
    <w:rsid w:val="00701E4F"/>
    <w:rsid w:val="0071148A"/>
    <w:rsid w:val="007135A4"/>
    <w:rsid w:val="00717E89"/>
    <w:rsid w:val="00730C1A"/>
    <w:rsid w:val="00740E91"/>
    <w:rsid w:val="00741030"/>
    <w:rsid w:val="00742C67"/>
    <w:rsid w:val="007471E7"/>
    <w:rsid w:val="0074792E"/>
    <w:rsid w:val="0075733C"/>
    <w:rsid w:val="00760088"/>
    <w:rsid w:val="00763AFB"/>
    <w:rsid w:val="007810D8"/>
    <w:rsid w:val="007945B8"/>
    <w:rsid w:val="00797F9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4BCD"/>
    <w:rsid w:val="00857CE2"/>
    <w:rsid w:val="008728C1"/>
    <w:rsid w:val="00882DF1"/>
    <w:rsid w:val="008A1480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207D7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35FD"/>
    <w:rsid w:val="00A44351"/>
    <w:rsid w:val="00A452B1"/>
    <w:rsid w:val="00A460D7"/>
    <w:rsid w:val="00A57D2D"/>
    <w:rsid w:val="00A73078"/>
    <w:rsid w:val="00A840FD"/>
    <w:rsid w:val="00A86047"/>
    <w:rsid w:val="00A87E4B"/>
    <w:rsid w:val="00AA3F1B"/>
    <w:rsid w:val="00AB136E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318E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52F49"/>
    <w:rsid w:val="00B61BF6"/>
    <w:rsid w:val="00B76688"/>
    <w:rsid w:val="00B83F3B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E183F"/>
    <w:rsid w:val="00BF3DE6"/>
    <w:rsid w:val="00BF64E1"/>
    <w:rsid w:val="00BF7D27"/>
    <w:rsid w:val="00C026BC"/>
    <w:rsid w:val="00C02B99"/>
    <w:rsid w:val="00C02F07"/>
    <w:rsid w:val="00C03A48"/>
    <w:rsid w:val="00C0447D"/>
    <w:rsid w:val="00C125BD"/>
    <w:rsid w:val="00C14773"/>
    <w:rsid w:val="00C17939"/>
    <w:rsid w:val="00C26D84"/>
    <w:rsid w:val="00C34B96"/>
    <w:rsid w:val="00C3579E"/>
    <w:rsid w:val="00C41436"/>
    <w:rsid w:val="00C463C6"/>
    <w:rsid w:val="00C67081"/>
    <w:rsid w:val="00C739A1"/>
    <w:rsid w:val="00C85B9F"/>
    <w:rsid w:val="00C93EA3"/>
    <w:rsid w:val="00C94E68"/>
    <w:rsid w:val="00C962C3"/>
    <w:rsid w:val="00C97C4C"/>
    <w:rsid w:val="00CA234C"/>
    <w:rsid w:val="00CA40F4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6269E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BF3"/>
    <w:rsid w:val="00DB6E8C"/>
    <w:rsid w:val="00DB7F10"/>
    <w:rsid w:val="00DC330D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16A83"/>
    <w:rsid w:val="00E23540"/>
    <w:rsid w:val="00E33BD4"/>
    <w:rsid w:val="00E4694F"/>
    <w:rsid w:val="00E50015"/>
    <w:rsid w:val="00E64E91"/>
    <w:rsid w:val="00E67295"/>
    <w:rsid w:val="00E7565A"/>
    <w:rsid w:val="00E768B6"/>
    <w:rsid w:val="00E80F81"/>
    <w:rsid w:val="00E86251"/>
    <w:rsid w:val="00E9241D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12BB"/>
    <w:rsid w:val="00EE451F"/>
    <w:rsid w:val="00EE5A50"/>
    <w:rsid w:val="00EE71C4"/>
    <w:rsid w:val="00EF5BDD"/>
    <w:rsid w:val="00F03861"/>
    <w:rsid w:val="00F137D0"/>
    <w:rsid w:val="00F25793"/>
    <w:rsid w:val="00F332F4"/>
    <w:rsid w:val="00F5023B"/>
    <w:rsid w:val="00F66744"/>
    <w:rsid w:val="00F76E1D"/>
    <w:rsid w:val="00F7747E"/>
    <w:rsid w:val="00F916C9"/>
    <w:rsid w:val="00F951D8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9C38-6499-475E-8F46-621A8BAA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 </cp:lastModifiedBy>
  <cp:revision>5</cp:revision>
  <cp:lastPrinted>2016-01-19T05:59:00Z</cp:lastPrinted>
  <dcterms:created xsi:type="dcterms:W3CDTF">2016-06-02T05:46:00Z</dcterms:created>
  <dcterms:modified xsi:type="dcterms:W3CDTF">2016-10-24T02:22:00Z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A498283</vt:lpwstr>
  </property>
  <property fmtid="{D5CDD505-2E9C-101B-9397-08002B2CF9AE}" pid="3" name="Objective-Title">
    <vt:lpwstr>Stage 1 Geography pre-approved LAP-02</vt:lpwstr>
  </property>
  <property fmtid="{D5CDD505-2E9C-101B-9397-08002B2CF9AE}" pid="4" name="Objective-Comment">
    <vt:lpwstr/>
  </property>
  <property fmtid="{D5CDD505-2E9C-101B-9397-08002B2CF9AE}" pid="5" name="Objective-CreationStamp">
    <vt:filetime>2016-01-19T05:00:13Z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2016-11-03T01:32:33Z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1:Humanities and Social Sciences:Geography (from 2017):Pre-approved LAPs (previously LAP exemplars):</vt:lpwstr>
  </property>
  <property fmtid="{D5CDD505-2E9C-101B-9397-08002B2CF9AE}" pid="12" name="Objective-Parent">
    <vt:lpwstr>Pre-approved LAPs (previously LAP exemplars)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14</vt:r8>
  </property>
  <property fmtid="{D5CDD505-2E9C-101B-9397-08002B2CF9AE}" pid="16" name="Objective-VersionComment">
    <vt:lpwstr/>
  </property>
  <property fmtid="{D5CDD505-2E9C-101B-9397-08002B2CF9AE}" pid="17" name="Objective-FileNumber">
    <vt:lpwstr>qA14522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