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:rsidR="00F66744" w:rsidRDefault="00E7565A" w:rsidP="00717E89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717E89">
        <w:rPr>
          <w:rFonts w:cs="Arial"/>
          <w:b/>
          <w:bCs/>
          <w:sz w:val="28"/>
          <w:szCs w:val="28"/>
        </w:rPr>
        <w:t>Geography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FE7B0E" w:rsidP="00BA2185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FE7B0E" w:rsidP="00BA2185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FE7B0E" w:rsidP="00BA2185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FE7B0E" w:rsidP="00BA2185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FE7B0E" w:rsidP="00BA218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4E06">
          <w:headerReference w:type="first" r:id="rId10"/>
          <w:footerReference w:type="first" r:id="rId11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717E89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717E89">
        <w:t>Geography</w:t>
      </w:r>
      <w:r>
        <w:t xml:space="preserve"> (10-</w:t>
      </w:r>
      <w:r w:rsidRPr="004963F3">
        <w:t>credits)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7501"/>
        <w:gridCol w:w="944"/>
        <w:gridCol w:w="803"/>
        <w:gridCol w:w="804"/>
        <w:gridCol w:w="4111"/>
      </w:tblGrid>
      <w:tr w:rsidR="002A53B7" w:rsidRPr="004963F3" w:rsidTr="00EB186C">
        <w:trPr>
          <w:trHeight w:val="345"/>
          <w:tblHeader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7501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2A53B7" w:rsidRPr="0030789D" w:rsidRDefault="002A53B7" w:rsidP="00BA2185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2A53B7" w:rsidRPr="004963F3" w:rsidTr="00EB186C">
        <w:trPr>
          <w:trHeight w:val="345"/>
          <w:tblHeader/>
        </w:trPr>
        <w:tc>
          <w:tcPr>
            <w:tcW w:w="1396" w:type="dxa"/>
            <w:vMerge/>
            <w:shd w:val="clear" w:color="auto" w:fill="auto"/>
            <w:vAlign w:val="center"/>
          </w:tcPr>
          <w:p w:rsidR="002A53B7" w:rsidRPr="004963F3" w:rsidRDefault="002A53B7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501" w:type="dxa"/>
            <w:vMerge/>
            <w:shd w:val="clear" w:color="auto" w:fill="auto"/>
            <w:vAlign w:val="center"/>
          </w:tcPr>
          <w:p w:rsidR="002A53B7" w:rsidRPr="004963F3" w:rsidRDefault="002A53B7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A53B7" w:rsidRPr="004963F3" w:rsidRDefault="003C79B5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K&amp;U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A53B7" w:rsidRPr="004963F3" w:rsidRDefault="003C79B5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AE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2A53B7" w:rsidRPr="004963F3" w:rsidRDefault="003C79B5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Ap</w:t>
            </w:r>
            <w:proofErr w:type="spellEnd"/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2A53B7" w:rsidRPr="004963F3" w:rsidRDefault="002A53B7" w:rsidP="00BA21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E7B0E" w:rsidRPr="004963F3" w:rsidTr="00FE7B0E">
        <w:trPr>
          <w:trHeight w:val="1124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FE7B0E" w:rsidRPr="00F40B4F" w:rsidRDefault="00FE7B0E" w:rsidP="00BA2185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Geographical Skills and Applications</w:t>
            </w:r>
          </w:p>
          <w:p w:rsidR="00FE7B0E" w:rsidRPr="00F40B4F" w:rsidRDefault="00FE7B0E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FE7B0E" w:rsidRPr="00F40B4F" w:rsidRDefault="00FE7B0E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FE7B0E" w:rsidRPr="00F40B4F" w:rsidRDefault="00FE7B0E" w:rsidP="00FE7B0E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  <w:r>
              <w:rPr>
                <w:b/>
                <w:lang w:val="en-US"/>
              </w:rPr>
              <w:t xml:space="preserve"> 75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501" w:type="dxa"/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Natural Hazards </w:t>
            </w:r>
            <w:r w:rsidRPr="008978E0">
              <w:rPr>
                <w:sz w:val="18"/>
                <w:szCs w:val="18"/>
              </w:rPr>
              <w:t>Students research one natural hazard</w:t>
            </w:r>
            <w:r>
              <w:rPr>
                <w:sz w:val="18"/>
                <w:szCs w:val="18"/>
              </w:rPr>
              <w:t xml:space="preserve"> that occurs in Australia, for example: tropical cyclones, floods, droughts, bushfires, and earthquakes. The students investigate: the </w:t>
            </w:r>
            <w:r w:rsidRPr="008978E0">
              <w:rPr>
                <w:sz w:val="18"/>
                <w:szCs w:val="18"/>
              </w:rPr>
              <w:t xml:space="preserve">characteristics </w:t>
            </w:r>
            <w:r>
              <w:rPr>
                <w:sz w:val="18"/>
                <w:szCs w:val="18"/>
              </w:rPr>
              <w:t xml:space="preserve">and </w:t>
            </w:r>
            <w:r w:rsidRPr="008978E0">
              <w:rPr>
                <w:sz w:val="18"/>
                <w:szCs w:val="18"/>
              </w:rPr>
              <w:t>caus</w:t>
            </w:r>
            <w:r>
              <w:rPr>
                <w:sz w:val="18"/>
                <w:szCs w:val="18"/>
              </w:rPr>
              <w:t>es of the hazard; distribution and</w:t>
            </w:r>
            <w:r w:rsidRPr="008978E0">
              <w:rPr>
                <w:sz w:val="18"/>
                <w:szCs w:val="18"/>
              </w:rPr>
              <w:t xml:space="preserve"> vulnerability of the hazard</w:t>
            </w:r>
            <w:r>
              <w:rPr>
                <w:sz w:val="18"/>
                <w:szCs w:val="18"/>
              </w:rPr>
              <w:t>, nationally and</w:t>
            </w:r>
            <w:r w:rsidRPr="008978E0">
              <w:rPr>
                <w:sz w:val="18"/>
                <w:szCs w:val="18"/>
              </w:rPr>
              <w:t xml:space="preserve"> globally; examples of risk management of the hazard; examples of impacts and responses to particular hazard events of this type.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KU1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KU2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AE1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Ap2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</w:rPr>
            </w:pPr>
            <w:r w:rsidRPr="008978E0">
              <w:rPr>
                <w:sz w:val="18"/>
                <w:szCs w:val="18"/>
              </w:rPr>
              <w:t>Infographic with annotated graphical information</w:t>
            </w:r>
            <w:r>
              <w:rPr>
                <w:sz w:val="18"/>
                <w:szCs w:val="18"/>
              </w:rPr>
              <w:t xml:space="preserve"> explaining</w:t>
            </w:r>
            <w:r w:rsidRPr="008978E0">
              <w:rPr>
                <w:sz w:val="18"/>
                <w:szCs w:val="18"/>
              </w:rPr>
              <w:t xml:space="preserve"> the distribution, cause and effects of </w:t>
            </w:r>
            <w:r>
              <w:rPr>
                <w:sz w:val="18"/>
                <w:szCs w:val="18"/>
              </w:rPr>
              <w:t xml:space="preserve">the selected </w:t>
            </w:r>
            <w:r w:rsidRPr="008978E0">
              <w:rPr>
                <w:sz w:val="18"/>
                <w:szCs w:val="18"/>
              </w:rPr>
              <w:t xml:space="preserve">natural hazard. </w:t>
            </w:r>
            <w:r>
              <w:rPr>
                <w:sz w:val="18"/>
                <w:szCs w:val="18"/>
              </w:rPr>
              <w:t xml:space="preserve"> Maximum of 500 words.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</w:rPr>
            </w:pPr>
            <w:r w:rsidRPr="008978E0">
              <w:rPr>
                <w:sz w:val="18"/>
                <w:szCs w:val="18"/>
              </w:rPr>
              <w:t>1 week lesson time / homework</w:t>
            </w:r>
          </w:p>
        </w:tc>
      </w:tr>
      <w:tr w:rsidR="00FE7B0E" w:rsidRPr="004963F3" w:rsidTr="00FE7B0E">
        <w:trPr>
          <w:trHeight w:val="1294"/>
        </w:trPr>
        <w:tc>
          <w:tcPr>
            <w:tcW w:w="1396" w:type="dxa"/>
            <w:vMerge/>
            <w:shd w:val="clear" w:color="auto" w:fill="auto"/>
            <w:vAlign w:val="center"/>
          </w:tcPr>
          <w:p w:rsidR="00FE7B0E" w:rsidRPr="00F40B4F" w:rsidRDefault="00FE7B0E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501" w:type="dxa"/>
            <w:shd w:val="clear" w:color="auto" w:fill="auto"/>
            <w:vAlign w:val="center"/>
          </w:tcPr>
          <w:p w:rsidR="00FE7B0E" w:rsidRPr="008978E0" w:rsidRDefault="00FE7B0E" w:rsidP="00A6058E">
            <w:pPr>
              <w:pStyle w:val="ACLAPTableTex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Natural Hazards </w:t>
            </w:r>
            <w:r w:rsidRPr="008978E0">
              <w:rPr>
                <w:sz w:val="18"/>
                <w:szCs w:val="18"/>
              </w:rPr>
              <w:t>As a class</w:t>
            </w:r>
            <w:r>
              <w:rPr>
                <w:sz w:val="18"/>
                <w:szCs w:val="18"/>
              </w:rPr>
              <w:t xml:space="preserve">, </w:t>
            </w:r>
            <w:r w:rsidRPr="008978E0">
              <w:rPr>
                <w:sz w:val="18"/>
                <w:szCs w:val="18"/>
              </w:rPr>
              <w:t>students visit a local conservation park</w:t>
            </w:r>
            <w:r>
              <w:rPr>
                <w:sz w:val="18"/>
                <w:szCs w:val="18"/>
              </w:rPr>
              <w:t xml:space="preserve"> or area of native vegetation</w:t>
            </w:r>
            <w:r w:rsidRPr="008978E0">
              <w:rPr>
                <w:sz w:val="18"/>
                <w:szCs w:val="18"/>
              </w:rPr>
              <w:t xml:space="preserve"> to collect field data for a Fire Fuel Hazard assessment. Data is</w:t>
            </w:r>
            <w:r>
              <w:rPr>
                <w:sz w:val="18"/>
                <w:szCs w:val="18"/>
              </w:rPr>
              <w:t xml:space="preserve"> measured and collected, and</w:t>
            </w:r>
            <w:r w:rsidRPr="008978E0">
              <w:rPr>
                <w:sz w:val="18"/>
                <w:szCs w:val="18"/>
              </w:rPr>
              <w:t xml:space="preserve"> recorded in a spreadsheet and then uploaded to a GIS platform (e</w:t>
            </w:r>
            <w:r>
              <w:rPr>
                <w:sz w:val="18"/>
                <w:szCs w:val="18"/>
              </w:rPr>
              <w:t>.</w:t>
            </w:r>
            <w:r w:rsidRPr="008978E0">
              <w:rPr>
                <w:sz w:val="18"/>
                <w:szCs w:val="18"/>
              </w:rPr>
              <w:t xml:space="preserve">g. Google My Map, ArcGIS online, </w:t>
            </w:r>
            <w:proofErr w:type="gramStart"/>
            <w:r w:rsidRPr="008978E0">
              <w:rPr>
                <w:sz w:val="18"/>
                <w:szCs w:val="18"/>
              </w:rPr>
              <w:t>Spatial</w:t>
            </w:r>
            <w:proofErr w:type="gramEnd"/>
            <w:r w:rsidRPr="008978E0">
              <w:rPr>
                <w:sz w:val="18"/>
                <w:szCs w:val="18"/>
              </w:rPr>
              <w:t xml:space="preserve"> Genie). Using spatial data analysis techniques, students manipulate the data </w:t>
            </w:r>
            <w:r>
              <w:rPr>
                <w:sz w:val="18"/>
                <w:szCs w:val="18"/>
              </w:rPr>
              <w:t xml:space="preserve">in order </w:t>
            </w:r>
            <w:r w:rsidRPr="008978E0">
              <w:rPr>
                <w:sz w:val="18"/>
                <w:szCs w:val="18"/>
              </w:rPr>
              <w:t xml:space="preserve">to identify the areas with highest </w:t>
            </w:r>
            <w:r>
              <w:rPr>
                <w:sz w:val="18"/>
                <w:szCs w:val="18"/>
              </w:rPr>
              <w:t xml:space="preserve">level of </w:t>
            </w:r>
            <w:r w:rsidRPr="008978E0">
              <w:rPr>
                <w:sz w:val="18"/>
                <w:szCs w:val="18"/>
              </w:rPr>
              <w:t xml:space="preserve">risk to future bushfires.  </w:t>
            </w:r>
            <w:bookmarkStart w:id="0" w:name="_GoBack"/>
            <w:bookmarkEnd w:id="0"/>
          </w:p>
        </w:tc>
        <w:tc>
          <w:tcPr>
            <w:tcW w:w="944" w:type="dxa"/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AE1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AE2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Ap1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7B0E" w:rsidRDefault="00FE7B0E" w:rsidP="00FE7B0E">
            <w:pPr>
              <w:pStyle w:val="ACLAPTableText"/>
              <w:rPr>
                <w:sz w:val="18"/>
                <w:szCs w:val="18"/>
              </w:rPr>
            </w:pPr>
            <w:r w:rsidRPr="008978E0">
              <w:rPr>
                <w:sz w:val="18"/>
                <w:szCs w:val="18"/>
              </w:rPr>
              <w:t>Fire Risk</w:t>
            </w:r>
            <w:r>
              <w:rPr>
                <w:sz w:val="18"/>
                <w:szCs w:val="18"/>
              </w:rPr>
              <w:t xml:space="preserve"> Map identifying </w:t>
            </w:r>
            <w:r w:rsidRPr="008978E0">
              <w:rPr>
                <w:sz w:val="18"/>
                <w:szCs w:val="18"/>
              </w:rPr>
              <w:t>fire hazards and assesses the fuel load in the chosen area of study.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Written report describing and explaining the pattern of risk.  Maximum of 500 words.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</w:rPr>
            </w:pPr>
            <w:r w:rsidRPr="008978E0">
              <w:rPr>
                <w:sz w:val="18"/>
                <w:szCs w:val="18"/>
              </w:rPr>
              <w:t xml:space="preserve">2 weeks lesson time / homework </w:t>
            </w:r>
          </w:p>
        </w:tc>
      </w:tr>
      <w:tr w:rsidR="00FE7B0E" w:rsidRPr="004963F3" w:rsidTr="00FE7B0E">
        <w:trPr>
          <w:trHeight w:val="1799"/>
        </w:trPr>
        <w:tc>
          <w:tcPr>
            <w:tcW w:w="1396" w:type="dxa"/>
            <w:vMerge/>
            <w:shd w:val="clear" w:color="auto" w:fill="auto"/>
            <w:vAlign w:val="center"/>
          </w:tcPr>
          <w:p w:rsidR="00FE7B0E" w:rsidRPr="00F40B4F" w:rsidRDefault="00FE7B0E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501" w:type="dxa"/>
            <w:shd w:val="clear" w:color="auto" w:fill="auto"/>
            <w:vAlign w:val="center"/>
          </w:tcPr>
          <w:p w:rsidR="00FE7B0E" w:rsidRDefault="00FE7B0E" w:rsidP="00FE7B0E">
            <w:pPr>
              <w:pStyle w:val="ACLAPTableTex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Urban Places </w:t>
            </w:r>
            <w:r w:rsidRPr="008978E0">
              <w:rPr>
                <w:sz w:val="18"/>
                <w:szCs w:val="18"/>
              </w:rPr>
              <w:t xml:space="preserve">Students research a city from the </w:t>
            </w:r>
            <w:proofErr w:type="spellStart"/>
            <w:r w:rsidRPr="008978E0">
              <w:rPr>
                <w:sz w:val="18"/>
                <w:szCs w:val="18"/>
              </w:rPr>
              <w:t>Arcadis</w:t>
            </w:r>
            <w:proofErr w:type="spellEnd"/>
            <w:r w:rsidRPr="008978E0">
              <w:rPr>
                <w:sz w:val="18"/>
                <w:szCs w:val="18"/>
              </w:rPr>
              <w:t xml:space="preserve"> Sustainable Cities Index (</w:t>
            </w:r>
            <w:hyperlink r:id="rId12" w:history="1">
              <w:r w:rsidRPr="008978E0">
                <w:rPr>
                  <w:rStyle w:val="Hyperlink"/>
                  <w:sz w:val="18"/>
                  <w:szCs w:val="18"/>
                </w:rPr>
                <w:t>http://www.sustainablecitiesindex.com/</w:t>
              </w:r>
            </w:hyperlink>
            <w:r w:rsidRPr="008978E0">
              <w:rPr>
                <w:sz w:val="18"/>
                <w:szCs w:val="18"/>
              </w:rPr>
              <w:t xml:space="preserve">) for their case study of sustainable urban places. </w:t>
            </w:r>
            <w:r>
              <w:rPr>
                <w:sz w:val="18"/>
                <w:szCs w:val="18"/>
              </w:rPr>
              <w:t>Students investigate a variety of sources in order to:</w:t>
            </w:r>
          </w:p>
          <w:p w:rsidR="00FE7B0E" w:rsidRDefault="00FE7B0E" w:rsidP="00FE7B0E">
            <w:pPr>
              <w:pStyle w:val="ACLAPTableTex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8978E0">
              <w:rPr>
                <w:sz w:val="18"/>
                <w:szCs w:val="18"/>
              </w:rPr>
              <w:t>explain the characteristics of this urban place;</w:t>
            </w:r>
          </w:p>
          <w:p w:rsidR="00FE7B0E" w:rsidRDefault="00FE7B0E" w:rsidP="00FE7B0E">
            <w:pPr>
              <w:pStyle w:val="ACLAPTableTex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8978E0">
              <w:rPr>
                <w:sz w:val="18"/>
                <w:szCs w:val="18"/>
              </w:rPr>
              <w:t xml:space="preserve">identify and analyse the social, economic &amp; environmental factors which have contributed to the city’s ranking; </w:t>
            </w:r>
          </w:p>
          <w:p w:rsidR="00FE7B0E" w:rsidRPr="008978E0" w:rsidRDefault="00FE7B0E" w:rsidP="00FE7B0E">
            <w:pPr>
              <w:pStyle w:val="ACLAPTableTex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proofErr w:type="gramStart"/>
            <w:r w:rsidRPr="008978E0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ake</w:t>
            </w:r>
            <w:proofErr w:type="gramEnd"/>
            <w:r>
              <w:rPr>
                <w:sz w:val="18"/>
                <w:szCs w:val="18"/>
              </w:rPr>
              <w:t xml:space="preserve"> recommendations for ways the</w:t>
            </w:r>
            <w:r w:rsidRPr="008978E0">
              <w:rPr>
                <w:sz w:val="18"/>
                <w:szCs w:val="18"/>
              </w:rPr>
              <w:t xml:space="preserve"> city can improve on its current ranking.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KU1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KU2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AE2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Ap2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7B0E" w:rsidRDefault="00FE7B0E" w:rsidP="00FE7B0E">
            <w:pPr>
              <w:pStyle w:val="ACLAPTableText"/>
              <w:rPr>
                <w:sz w:val="18"/>
                <w:szCs w:val="18"/>
              </w:rPr>
            </w:pPr>
            <w:r w:rsidRPr="008978E0">
              <w:rPr>
                <w:sz w:val="18"/>
                <w:szCs w:val="18"/>
              </w:rPr>
              <w:t>Oral presentation with visual representations about their chosen sustainable city.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of 5 minutes.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</w:rPr>
            </w:pPr>
            <w:r w:rsidRPr="008978E0">
              <w:rPr>
                <w:sz w:val="18"/>
                <w:szCs w:val="18"/>
              </w:rPr>
              <w:t>1 week lesson time/ homework</w:t>
            </w:r>
          </w:p>
        </w:tc>
      </w:tr>
      <w:tr w:rsidR="00FE7B0E" w:rsidRPr="004963F3" w:rsidTr="00FE7B0E">
        <w:trPr>
          <w:trHeight w:val="1947"/>
        </w:trPr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7B0E" w:rsidRPr="00F40B4F" w:rsidRDefault="00FE7B0E" w:rsidP="00BA2185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2: Fieldwork</w:t>
            </w:r>
          </w:p>
          <w:p w:rsidR="00FE7B0E" w:rsidRPr="00F40B4F" w:rsidRDefault="00FE7B0E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FE7B0E" w:rsidRPr="00F40B4F" w:rsidRDefault="00FE7B0E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FE7B0E" w:rsidRPr="00F40B4F" w:rsidRDefault="00FE7B0E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</w:p>
          <w:p w:rsidR="00FE7B0E" w:rsidRPr="00F40B4F" w:rsidRDefault="00FE7B0E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FE7B0E">
              <w:rPr>
                <w:b/>
                <w:lang w:val="en-US"/>
              </w:rPr>
              <w:t>25%</w:t>
            </w:r>
          </w:p>
        </w:tc>
        <w:tc>
          <w:tcPr>
            <w:tcW w:w="7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Urban Places </w:t>
            </w:r>
            <w:r w:rsidRPr="008978E0">
              <w:rPr>
                <w:sz w:val="18"/>
                <w:szCs w:val="18"/>
                <w:lang w:val="en-US"/>
              </w:rPr>
              <w:t xml:space="preserve">Students undertake guided fieldwork as a class. In a full-day field trip students will visit 2-3 different </w:t>
            </w:r>
            <w:r>
              <w:rPr>
                <w:sz w:val="18"/>
                <w:szCs w:val="18"/>
                <w:lang w:val="en-US"/>
              </w:rPr>
              <w:t xml:space="preserve">sites </w:t>
            </w:r>
            <w:r w:rsidRPr="008978E0">
              <w:rPr>
                <w:sz w:val="18"/>
                <w:szCs w:val="18"/>
                <w:lang w:val="en-US"/>
              </w:rPr>
              <w:t>of urban development (e</w:t>
            </w:r>
            <w:r>
              <w:rPr>
                <w:sz w:val="18"/>
                <w:szCs w:val="18"/>
                <w:lang w:val="en-US"/>
              </w:rPr>
              <w:t>.</w:t>
            </w:r>
            <w:r w:rsidRPr="008978E0">
              <w:rPr>
                <w:sz w:val="18"/>
                <w:szCs w:val="18"/>
                <w:lang w:val="en-US"/>
              </w:rPr>
              <w:t xml:space="preserve">g. </w:t>
            </w:r>
            <w:proofErr w:type="spellStart"/>
            <w:r w:rsidRPr="008978E0">
              <w:rPr>
                <w:sz w:val="18"/>
                <w:szCs w:val="18"/>
                <w:lang w:val="en-US"/>
              </w:rPr>
              <w:t>Lochiel</w:t>
            </w:r>
            <w:proofErr w:type="spellEnd"/>
            <w:r w:rsidRPr="008978E0">
              <w:rPr>
                <w:sz w:val="18"/>
                <w:szCs w:val="18"/>
                <w:lang w:val="en-US"/>
              </w:rPr>
              <w:t xml:space="preserve"> Park, Lights View, </w:t>
            </w:r>
            <w:proofErr w:type="gramStart"/>
            <w:r w:rsidRPr="008978E0">
              <w:rPr>
                <w:sz w:val="18"/>
                <w:szCs w:val="18"/>
                <w:lang w:val="en-US"/>
              </w:rPr>
              <w:t>Bowden</w:t>
            </w:r>
            <w:proofErr w:type="gramEnd"/>
            <w:r w:rsidRPr="008978E0">
              <w:rPr>
                <w:sz w:val="18"/>
                <w:szCs w:val="18"/>
                <w:lang w:val="en-US"/>
              </w:rPr>
              <w:t>).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Durin</w:t>
            </w:r>
            <w:r>
              <w:rPr>
                <w:sz w:val="18"/>
                <w:szCs w:val="18"/>
                <w:lang w:val="en-US"/>
              </w:rPr>
              <w:t>g their field trip students</w:t>
            </w:r>
            <w:r w:rsidRPr="008978E0">
              <w:rPr>
                <w:sz w:val="18"/>
                <w:szCs w:val="18"/>
                <w:lang w:val="en-US"/>
              </w:rPr>
              <w:t xml:space="preserve"> gather data through surveys, sketches, bipolar analysis, </w:t>
            </w:r>
            <w:r>
              <w:rPr>
                <w:sz w:val="18"/>
                <w:szCs w:val="18"/>
                <w:lang w:val="en-US"/>
              </w:rPr>
              <w:t xml:space="preserve">mapping </w:t>
            </w:r>
            <w:r w:rsidRPr="008978E0">
              <w:rPr>
                <w:sz w:val="18"/>
                <w:szCs w:val="18"/>
                <w:lang w:val="en-US"/>
              </w:rPr>
              <w:t xml:space="preserve">etc.  Fieldwork will focus on assessing one of the following priorities (as set down in </w:t>
            </w:r>
            <w:r w:rsidRPr="008978E0">
              <w:rPr>
                <w:i/>
                <w:sz w:val="18"/>
                <w:szCs w:val="18"/>
                <w:lang w:val="en-US"/>
              </w:rPr>
              <w:t>The 30-year plan for Greater Adelaide</w:t>
            </w:r>
            <w:r w:rsidRPr="008978E0">
              <w:rPr>
                <w:sz w:val="18"/>
                <w:szCs w:val="18"/>
                <w:lang w:val="en-US"/>
              </w:rPr>
              <w:t xml:space="preserve">): </w:t>
            </w:r>
            <w:proofErr w:type="spellStart"/>
            <w:r w:rsidRPr="008978E0">
              <w:rPr>
                <w:sz w:val="18"/>
                <w:szCs w:val="18"/>
                <w:lang w:val="en-US"/>
              </w:rPr>
              <w:t>liveability</w:t>
            </w:r>
            <w:proofErr w:type="spellEnd"/>
            <w:r w:rsidRPr="008978E0">
              <w:rPr>
                <w:sz w:val="18"/>
                <w:szCs w:val="18"/>
                <w:lang w:val="en-US"/>
              </w:rPr>
              <w:t xml:space="preserve">, competitiveness, </w:t>
            </w:r>
            <w:r>
              <w:rPr>
                <w:sz w:val="18"/>
                <w:szCs w:val="18"/>
                <w:lang w:val="en-US"/>
              </w:rPr>
              <w:t xml:space="preserve">or </w:t>
            </w:r>
            <w:r w:rsidRPr="008978E0">
              <w:rPr>
                <w:sz w:val="18"/>
                <w:szCs w:val="18"/>
                <w:lang w:val="en-US"/>
              </w:rPr>
              <w:t>sustainability.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In addition</w:t>
            </w:r>
            <w:r>
              <w:rPr>
                <w:sz w:val="18"/>
                <w:szCs w:val="18"/>
                <w:lang w:val="en-US"/>
              </w:rPr>
              <w:t xml:space="preserve"> to the field trip, students</w:t>
            </w:r>
            <w:r w:rsidRPr="008978E0">
              <w:rPr>
                <w:sz w:val="18"/>
                <w:szCs w:val="18"/>
                <w:lang w:val="en-US"/>
              </w:rPr>
              <w:t xml:space="preserve"> use supporting statistical data (e</w:t>
            </w:r>
            <w:r>
              <w:rPr>
                <w:sz w:val="18"/>
                <w:szCs w:val="18"/>
                <w:lang w:val="en-US"/>
              </w:rPr>
              <w:t xml:space="preserve">.g. </w:t>
            </w:r>
            <w:r w:rsidRPr="008978E0">
              <w:rPr>
                <w:sz w:val="18"/>
                <w:szCs w:val="18"/>
                <w:lang w:val="en-US"/>
              </w:rPr>
              <w:t>information from A</w:t>
            </w:r>
            <w:r>
              <w:rPr>
                <w:sz w:val="18"/>
                <w:szCs w:val="18"/>
                <w:lang w:val="en-US"/>
              </w:rPr>
              <w:t xml:space="preserve">ustralian </w:t>
            </w:r>
            <w:r w:rsidRPr="008978E0">
              <w:rPr>
                <w:sz w:val="18"/>
                <w:szCs w:val="18"/>
                <w:lang w:val="en-US"/>
              </w:rPr>
              <w:t>B</w:t>
            </w:r>
            <w:r>
              <w:rPr>
                <w:sz w:val="18"/>
                <w:szCs w:val="18"/>
                <w:lang w:val="en-US"/>
              </w:rPr>
              <w:t xml:space="preserve">ureau of </w:t>
            </w:r>
            <w:r w:rsidRPr="008978E0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 xml:space="preserve">tatistics </w:t>
            </w:r>
            <w:hyperlink r:id="rId13" w:history="1">
              <w:r w:rsidRPr="00D20F06">
                <w:rPr>
                  <w:rStyle w:val="Hyperlink"/>
                  <w:sz w:val="18"/>
                  <w:szCs w:val="18"/>
                  <w:lang w:val="en-US"/>
                </w:rPr>
                <w:t>www.abs.gov.au</w:t>
              </w:r>
            </w:hyperlink>
            <w:r>
              <w:rPr>
                <w:sz w:val="18"/>
                <w:szCs w:val="18"/>
                <w:lang w:val="en-US"/>
              </w:rPr>
              <w:t xml:space="preserve"> </w:t>
            </w:r>
            <w:r w:rsidRPr="008978E0">
              <w:rPr>
                <w:sz w:val="18"/>
                <w:szCs w:val="18"/>
                <w:lang w:val="en-US"/>
              </w:rPr>
              <w:t>) to support their</w:t>
            </w:r>
            <w:r>
              <w:rPr>
                <w:sz w:val="18"/>
                <w:szCs w:val="18"/>
                <w:lang w:val="en-US"/>
              </w:rPr>
              <w:t xml:space="preserve"> field data</w:t>
            </w:r>
            <w:r w:rsidRPr="008978E0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AE1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AE2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Ap1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  <w:lang w:val="en-US"/>
              </w:rPr>
            </w:pPr>
            <w:r w:rsidRPr="008978E0">
              <w:rPr>
                <w:sz w:val="18"/>
                <w:szCs w:val="18"/>
                <w:lang w:val="en-US"/>
              </w:rPr>
              <w:t>Ap2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7B0E" w:rsidRDefault="00FE7B0E" w:rsidP="00FE7B0E">
            <w:pPr>
              <w:pStyle w:val="ACLAPTableText"/>
              <w:rPr>
                <w:i/>
                <w:sz w:val="18"/>
                <w:szCs w:val="18"/>
              </w:rPr>
            </w:pPr>
            <w:r w:rsidRPr="008978E0">
              <w:rPr>
                <w:sz w:val="18"/>
                <w:szCs w:val="18"/>
              </w:rPr>
              <w:t xml:space="preserve">Written report with appropriate maps, graphs, </w:t>
            </w:r>
            <w:r>
              <w:rPr>
                <w:sz w:val="18"/>
                <w:szCs w:val="18"/>
              </w:rPr>
              <w:t xml:space="preserve">annotated </w:t>
            </w:r>
            <w:proofErr w:type="gramStart"/>
            <w:r>
              <w:rPr>
                <w:sz w:val="18"/>
                <w:szCs w:val="18"/>
              </w:rPr>
              <w:t xml:space="preserve">diagrams, that </w:t>
            </w:r>
            <w:r w:rsidRPr="008978E0">
              <w:rPr>
                <w:sz w:val="18"/>
                <w:szCs w:val="18"/>
              </w:rPr>
              <w:t>addresses</w:t>
            </w:r>
            <w:proofErr w:type="gramEnd"/>
            <w:r w:rsidRPr="008978E0">
              <w:rPr>
                <w:sz w:val="18"/>
                <w:szCs w:val="18"/>
              </w:rPr>
              <w:t xml:space="preserve"> the question: </w:t>
            </w:r>
            <w:r w:rsidRPr="008978E0">
              <w:rPr>
                <w:i/>
                <w:sz w:val="18"/>
                <w:szCs w:val="18"/>
              </w:rPr>
              <w:t>Which urban development is the most liveable/ competitive/ sustainable?</w:t>
            </w:r>
          </w:p>
          <w:p w:rsidR="00FE7B0E" w:rsidRPr="00FD159D" w:rsidRDefault="00FE7B0E" w:rsidP="00FE7B0E">
            <w:pPr>
              <w:pStyle w:val="ACLAP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of 1000 words.</w:t>
            </w:r>
          </w:p>
          <w:p w:rsidR="00FE7B0E" w:rsidRPr="008978E0" w:rsidRDefault="00FE7B0E" w:rsidP="00FE7B0E">
            <w:pPr>
              <w:pStyle w:val="ACLAPTableText"/>
              <w:rPr>
                <w:sz w:val="18"/>
                <w:szCs w:val="18"/>
              </w:rPr>
            </w:pPr>
            <w:r w:rsidRPr="008978E0">
              <w:rPr>
                <w:sz w:val="18"/>
                <w:szCs w:val="18"/>
              </w:rPr>
              <w:t>Students have 2 weeks to complete the task, plus pre-fieldwork preparation time.</w:t>
            </w:r>
          </w:p>
        </w:tc>
      </w:tr>
    </w:tbl>
    <w:p w:rsidR="002A53B7" w:rsidRPr="00A45A49" w:rsidRDefault="002A53B7" w:rsidP="002A53B7"/>
    <w:p w:rsidR="002A53B7" w:rsidRDefault="002A53B7" w:rsidP="00104C5F">
      <w:pPr>
        <w:rPr>
          <w:rFonts w:cs="Arial"/>
          <w:i/>
          <w:iCs/>
          <w:sz w:val="20"/>
          <w:szCs w:val="20"/>
          <w:lang w:val="en-US"/>
        </w:rPr>
      </w:pPr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Four assessments.</w:t>
      </w:r>
      <w:proofErr w:type="gram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Stage 1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104C5F">
        <w:rPr>
          <w:rFonts w:cs="Arial"/>
          <w:i/>
          <w:iCs/>
          <w:sz w:val="20"/>
          <w:szCs w:val="20"/>
          <w:lang w:val="en-US"/>
        </w:rPr>
        <w:t>Geography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Pr="004963F3">
        <w:rPr>
          <w:rFonts w:cs="Arial"/>
          <w:i/>
          <w:iCs/>
          <w:sz w:val="20"/>
          <w:szCs w:val="20"/>
          <w:lang w:val="en-US"/>
        </w:rPr>
        <w:t>.</w:t>
      </w:r>
    </w:p>
    <w:sectPr w:rsidR="002A53B7" w:rsidSect="00EB186C">
      <w:headerReference w:type="first" r:id="rId14"/>
      <w:footerReference w:type="first" r:id="rId15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5E" w:rsidRDefault="0059165E">
      <w:r>
        <w:separator/>
      </w:r>
    </w:p>
  </w:endnote>
  <w:endnote w:type="continuationSeparator" w:id="0">
    <w:p w:rsidR="0059165E" w:rsidRDefault="0059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A6058E">
      <w:rPr>
        <w:noProof/>
      </w:rPr>
      <w:t>1</w:t>
    </w:r>
    <w:r w:rsidRPr="00D732EE">
      <w:fldChar w:fldCharType="end"/>
    </w:r>
    <w:r w:rsidRPr="00D732EE">
      <w:t xml:space="preserve"> of </w:t>
    </w:r>
    <w:fldSimple w:instr=" NUMPAGES  \* MERGEFORMAT ">
      <w:r w:rsidR="00A6058E">
        <w:rPr>
          <w:noProof/>
        </w:rPr>
        <w:t>2</w:t>
      </w:r>
    </w:fldSimple>
  </w:p>
  <w:p w:rsidR="002A53B7" w:rsidRDefault="002A53B7" w:rsidP="00717E89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A6058E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A6058E">
      <w:rPr>
        <w:noProof/>
      </w:rPr>
      <w:t>2</w:t>
    </w:r>
    <w:r w:rsidRPr="00D128A8">
      <w:fldChar w:fldCharType="end"/>
    </w:r>
    <w:r>
      <w:rPr>
        <w:sz w:val="18"/>
      </w:rPr>
      <w:tab/>
    </w:r>
    <w:r w:rsidR="00FE7B0E">
      <w:t xml:space="preserve">Stage 1 Geography pre-approved LAP-04 </w:t>
    </w:r>
    <w:r w:rsidR="00E021FF">
      <w:t>(for use from 2017</w:t>
    </w:r>
    <w:r>
      <w:t>)</w:t>
    </w:r>
  </w:p>
  <w:p w:rsidR="002A53B7" w:rsidRPr="00AD3BD3" w:rsidRDefault="002A53B7" w:rsidP="00D732EE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fldSimple w:instr=" DOCPROPERTY  Objective-Id  \* MERGEFORMAT ">
      <w:r w:rsidR="00717E89">
        <w:t>A</w:t>
      </w:r>
    </w:fldSimple>
    <w:r w:rsidR="00F1669D">
      <w:t>661073</w:t>
    </w:r>
    <w:r w:rsidR="00D732EE" w:rsidRPr="00AD3BD3">
      <w:t xml:space="preserve"> </w:t>
    </w:r>
    <w:r w:rsidRPr="00AD3BD3">
      <w:t>(</w:t>
    </w:r>
    <w:r w:rsidR="00FE7B0E">
      <w:t>revised</w:t>
    </w:r>
    <w:r>
      <w:t xml:space="preserve"> </w:t>
    </w:r>
    <w:r w:rsidR="00E021FF">
      <w:t>December 201</w:t>
    </w:r>
    <w:r w:rsidR="00FE7B0E">
      <w:t>7</w:t>
    </w:r>
    <w:r>
      <w:t>)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</w:t>
    </w:r>
    <w:r w:rsidR="00FE7B0E"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85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A6058E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A6058E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FE7B0E">
      <w:t>Geography</w:t>
    </w:r>
    <w:r>
      <w:t xml:space="preserve"> </w:t>
    </w:r>
    <w:r w:rsidR="002A53B7">
      <w:t>pre-approved</w:t>
    </w:r>
    <w:r>
      <w:t xml:space="preserve"> </w:t>
    </w:r>
    <w:r w:rsidR="00FE7B0E">
      <w:t>LAP-04</w:t>
    </w:r>
    <w:r w:rsidR="00E021FF">
      <w:t xml:space="preserve"> (for use from 2017</w:t>
    </w:r>
    <w:r>
      <w:t>)</w:t>
    </w:r>
  </w:p>
  <w:p w:rsidR="00BA2185" w:rsidRPr="00AD3BD3" w:rsidRDefault="00F1669D" w:rsidP="00D732EE">
    <w:pPr>
      <w:pStyle w:val="LAPFooter"/>
      <w:tabs>
        <w:tab w:val="clear" w:pos="9639"/>
        <w:tab w:val="clear" w:pos="14742"/>
        <w:tab w:val="right" w:pos="15451"/>
      </w:tabs>
    </w:pPr>
    <w:r>
      <w:tab/>
      <w:t xml:space="preserve">Ref: </w:t>
    </w:r>
    <w:r w:rsidRPr="00AD3BD3">
      <w:t xml:space="preserve">Ref: </w:t>
    </w:r>
    <w:fldSimple w:instr=" DOCPROPERTY  Objective-Id  \* MERGEFORMAT ">
      <w:r>
        <w:t>A</w:t>
      </w:r>
    </w:fldSimple>
    <w:r>
      <w:t>661073</w:t>
    </w:r>
    <w:r w:rsidRPr="00AD3BD3">
      <w:t xml:space="preserve"> </w:t>
    </w:r>
    <w:r w:rsidR="00BA2185" w:rsidRPr="00AD3BD3">
      <w:t>(</w:t>
    </w:r>
    <w:r w:rsidR="00FE7B0E">
      <w:t>revised December 2017</w:t>
    </w:r>
    <w:r w:rsidR="00BA2185">
      <w:t>)</w:t>
    </w:r>
  </w:p>
  <w:p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</w:t>
    </w:r>
    <w:r w:rsidR="00FE7B0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5E" w:rsidRDefault="0059165E">
      <w:r>
        <w:separator/>
      </w:r>
    </w:p>
  </w:footnote>
  <w:footnote w:type="continuationSeparator" w:id="0">
    <w:p w:rsidR="0059165E" w:rsidRDefault="0059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FE7B0E">
    <w:pPr>
      <w:pStyle w:val="Header"/>
    </w:pPr>
    <w:r>
      <w:rPr>
        <w:caps/>
        <w:noProof/>
        <w:sz w:val="32"/>
        <w:szCs w:val="32"/>
      </w:rPr>
      <w:drawing>
        <wp:inline distT="0" distB="0" distL="0" distR="0">
          <wp:extent cx="1752600" cy="609600"/>
          <wp:effectExtent l="0" t="0" r="0" b="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7904C9"/>
    <w:multiLevelType w:val="hybridMultilevel"/>
    <w:tmpl w:val="778A4AF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07263"/>
    <w:rsid w:val="000132C7"/>
    <w:rsid w:val="00015A5A"/>
    <w:rsid w:val="00024A5F"/>
    <w:rsid w:val="00024A83"/>
    <w:rsid w:val="00037234"/>
    <w:rsid w:val="00037C4D"/>
    <w:rsid w:val="00052DD3"/>
    <w:rsid w:val="00057EBC"/>
    <w:rsid w:val="00063CA9"/>
    <w:rsid w:val="00067DB9"/>
    <w:rsid w:val="0007513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4C5F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1267"/>
    <w:rsid w:val="00175A80"/>
    <w:rsid w:val="00184222"/>
    <w:rsid w:val="00190550"/>
    <w:rsid w:val="00195415"/>
    <w:rsid w:val="001A4E06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41137"/>
    <w:rsid w:val="002420B6"/>
    <w:rsid w:val="00242300"/>
    <w:rsid w:val="00242F7C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5884"/>
    <w:rsid w:val="002F2F32"/>
    <w:rsid w:val="003221A6"/>
    <w:rsid w:val="00325B01"/>
    <w:rsid w:val="00325D7E"/>
    <w:rsid w:val="00327F6B"/>
    <w:rsid w:val="00332C7C"/>
    <w:rsid w:val="0033343E"/>
    <w:rsid w:val="00336339"/>
    <w:rsid w:val="0035087B"/>
    <w:rsid w:val="003561C1"/>
    <w:rsid w:val="00356D46"/>
    <w:rsid w:val="003670B3"/>
    <w:rsid w:val="00376BA9"/>
    <w:rsid w:val="0038004F"/>
    <w:rsid w:val="003961F5"/>
    <w:rsid w:val="003962A6"/>
    <w:rsid w:val="003A3B7E"/>
    <w:rsid w:val="003A487C"/>
    <w:rsid w:val="003A6317"/>
    <w:rsid w:val="003A7728"/>
    <w:rsid w:val="003B3C11"/>
    <w:rsid w:val="003C11D1"/>
    <w:rsid w:val="003C79B5"/>
    <w:rsid w:val="003D1161"/>
    <w:rsid w:val="003E0138"/>
    <w:rsid w:val="003E2D9F"/>
    <w:rsid w:val="00410AB0"/>
    <w:rsid w:val="00412EBB"/>
    <w:rsid w:val="004132D9"/>
    <w:rsid w:val="004220DF"/>
    <w:rsid w:val="00425CAF"/>
    <w:rsid w:val="00436D6F"/>
    <w:rsid w:val="00447927"/>
    <w:rsid w:val="004729D1"/>
    <w:rsid w:val="004742DB"/>
    <w:rsid w:val="004A265C"/>
    <w:rsid w:val="004A4FF7"/>
    <w:rsid w:val="004C0B24"/>
    <w:rsid w:val="004C3EBC"/>
    <w:rsid w:val="004C6ABF"/>
    <w:rsid w:val="004D254A"/>
    <w:rsid w:val="004D4BEC"/>
    <w:rsid w:val="004E18D1"/>
    <w:rsid w:val="004F44CC"/>
    <w:rsid w:val="00503362"/>
    <w:rsid w:val="00503DEA"/>
    <w:rsid w:val="005068CA"/>
    <w:rsid w:val="00511F01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722B0"/>
    <w:rsid w:val="005859E4"/>
    <w:rsid w:val="005874B0"/>
    <w:rsid w:val="0059165E"/>
    <w:rsid w:val="005963A4"/>
    <w:rsid w:val="005A4299"/>
    <w:rsid w:val="005A5689"/>
    <w:rsid w:val="005A678C"/>
    <w:rsid w:val="005B27B2"/>
    <w:rsid w:val="005B7726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856"/>
    <w:rsid w:val="00663E4C"/>
    <w:rsid w:val="006718C1"/>
    <w:rsid w:val="0067208D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D25CE"/>
    <w:rsid w:val="006F4851"/>
    <w:rsid w:val="00700E3E"/>
    <w:rsid w:val="00701E4F"/>
    <w:rsid w:val="0071148A"/>
    <w:rsid w:val="007135A4"/>
    <w:rsid w:val="00717E89"/>
    <w:rsid w:val="00730C1A"/>
    <w:rsid w:val="00742C67"/>
    <w:rsid w:val="007471E7"/>
    <w:rsid w:val="0074792E"/>
    <w:rsid w:val="0075733C"/>
    <w:rsid w:val="00760088"/>
    <w:rsid w:val="00763AFB"/>
    <w:rsid w:val="007810D8"/>
    <w:rsid w:val="007B3BEB"/>
    <w:rsid w:val="007B75A6"/>
    <w:rsid w:val="007C07CE"/>
    <w:rsid w:val="007C245C"/>
    <w:rsid w:val="007C7E0B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7CE2"/>
    <w:rsid w:val="008728C1"/>
    <w:rsid w:val="00882DF1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73E1"/>
    <w:rsid w:val="008E543D"/>
    <w:rsid w:val="009207D7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3AAA"/>
    <w:rsid w:val="00991F99"/>
    <w:rsid w:val="0099399F"/>
    <w:rsid w:val="009A19D9"/>
    <w:rsid w:val="009A5606"/>
    <w:rsid w:val="009B19E7"/>
    <w:rsid w:val="009C3572"/>
    <w:rsid w:val="009D4FD0"/>
    <w:rsid w:val="009E0E30"/>
    <w:rsid w:val="009E5774"/>
    <w:rsid w:val="009F318C"/>
    <w:rsid w:val="00A02825"/>
    <w:rsid w:val="00A06EBF"/>
    <w:rsid w:val="00A0774F"/>
    <w:rsid w:val="00A143A4"/>
    <w:rsid w:val="00A27B37"/>
    <w:rsid w:val="00A372B3"/>
    <w:rsid w:val="00A4171C"/>
    <w:rsid w:val="00A41CA1"/>
    <w:rsid w:val="00A44351"/>
    <w:rsid w:val="00A452B1"/>
    <w:rsid w:val="00A460D7"/>
    <w:rsid w:val="00A57D2D"/>
    <w:rsid w:val="00A6058E"/>
    <w:rsid w:val="00A73078"/>
    <w:rsid w:val="00A840FD"/>
    <w:rsid w:val="00A86047"/>
    <w:rsid w:val="00A87E4B"/>
    <w:rsid w:val="00AA3F1B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61BF6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67081"/>
    <w:rsid w:val="00C85B9F"/>
    <w:rsid w:val="00C93EA3"/>
    <w:rsid w:val="00C94E68"/>
    <w:rsid w:val="00C97C4C"/>
    <w:rsid w:val="00CA234C"/>
    <w:rsid w:val="00CB0F63"/>
    <w:rsid w:val="00CC1F8A"/>
    <w:rsid w:val="00CC2DB2"/>
    <w:rsid w:val="00CC346D"/>
    <w:rsid w:val="00CD06DE"/>
    <w:rsid w:val="00D00A28"/>
    <w:rsid w:val="00D01CD3"/>
    <w:rsid w:val="00D064A9"/>
    <w:rsid w:val="00D201E9"/>
    <w:rsid w:val="00D23A7C"/>
    <w:rsid w:val="00D2640E"/>
    <w:rsid w:val="00D30040"/>
    <w:rsid w:val="00D355D8"/>
    <w:rsid w:val="00D364BB"/>
    <w:rsid w:val="00D47F6E"/>
    <w:rsid w:val="00D53DB2"/>
    <w:rsid w:val="00D55A43"/>
    <w:rsid w:val="00D61756"/>
    <w:rsid w:val="00D705BE"/>
    <w:rsid w:val="00D732EE"/>
    <w:rsid w:val="00D73CF0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62AF"/>
    <w:rsid w:val="00DF18BB"/>
    <w:rsid w:val="00DF21E9"/>
    <w:rsid w:val="00DF5652"/>
    <w:rsid w:val="00DF6979"/>
    <w:rsid w:val="00E021FF"/>
    <w:rsid w:val="00E07410"/>
    <w:rsid w:val="00E10778"/>
    <w:rsid w:val="00E11E17"/>
    <w:rsid w:val="00E13855"/>
    <w:rsid w:val="00E23540"/>
    <w:rsid w:val="00E33BD4"/>
    <w:rsid w:val="00E4694F"/>
    <w:rsid w:val="00E50015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B186C"/>
    <w:rsid w:val="00EB3BFF"/>
    <w:rsid w:val="00EB4E42"/>
    <w:rsid w:val="00EC3D2F"/>
    <w:rsid w:val="00ED2F48"/>
    <w:rsid w:val="00ED6619"/>
    <w:rsid w:val="00EE451F"/>
    <w:rsid w:val="00EE5A50"/>
    <w:rsid w:val="00EE71C4"/>
    <w:rsid w:val="00EF5BDD"/>
    <w:rsid w:val="00F03861"/>
    <w:rsid w:val="00F137D0"/>
    <w:rsid w:val="00F1669D"/>
    <w:rsid w:val="00F25793"/>
    <w:rsid w:val="00F5023B"/>
    <w:rsid w:val="00F66744"/>
    <w:rsid w:val="00F7747E"/>
    <w:rsid w:val="00F916C9"/>
    <w:rsid w:val="00F96C11"/>
    <w:rsid w:val="00FA0B40"/>
    <w:rsid w:val="00FA5230"/>
    <w:rsid w:val="00FB5948"/>
    <w:rsid w:val="00FB76A1"/>
    <w:rsid w:val="00FB7CE3"/>
    <w:rsid w:val="00FC361E"/>
    <w:rsid w:val="00FD3C1B"/>
    <w:rsid w:val="00FE00F0"/>
    <w:rsid w:val="00FE20E1"/>
    <w:rsid w:val="00FE296B"/>
    <w:rsid w:val="00FE7B0E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character" w:styleId="Hyperlink">
    <w:name w:val="Hyperlink"/>
    <w:unhideWhenUsed/>
    <w:rsid w:val="00FE7B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character" w:styleId="Hyperlink">
    <w:name w:val="Hyperlink"/>
    <w:unhideWhenUsed/>
    <w:rsid w:val="00FE7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bs.gov.a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sustainablecitiesindex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A661073</value>
    </field>
    <field name="Objective-Title">
      <value order="0">Stage 1 Geography pre-approved LAP-04</value>
    </field>
    <field name="Objective-Description">
      <value order="0"/>
    </field>
    <field name="Objective-CreationStamp">
      <value order="0">2017-07-27T07:04:16Z</value>
    </field>
    <field name="Objective-IsApproved">
      <value order="0">false</value>
    </field>
    <field name="Objective-IsPublished">
      <value order="0">true</value>
    </field>
    <field name="Objective-DatePublished">
      <value order="0">2017-07-27T07:06:39Z</value>
    </field>
    <field name="Objective-ModificationStamp">
      <value order="0">2017-07-27T07:06:39Z</value>
    </field>
    <field name="Objective-Owner">
      <value order="0">Simone Hitch</value>
    </field>
    <field name="Objective-Path">
      <value order="0">Objective Global Folder:SACE Support Materials:SACE Support Materials Stage 1:Humanities and Social Sciences:Geography (from 2017):Pre-approved LAPs (previously LAP exemplars)</value>
    </field>
    <field name="Objective-Parent">
      <value order="0">Pre-approved LAPs (previously LAP exemplars)</value>
    </field>
    <field name="Objective-State">
      <value order="0">Published</value>
    </field>
    <field name="Objective-VersionId">
      <value order="0">vA1163800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qA14522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4ABA7348-B63C-4C56-A62D-B5F9891A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Simone Hitch</cp:lastModifiedBy>
  <cp:revision>4</cp:revision>
  <cp:lastPrinted>2015-09-01T22:53:00Z</cp:lastPrinted>
  <dcterms:created xsi:type="dcterms:W3CDTF">2017-07-27T07:04:00Z</dcterms:created>
  <dcterms:modified xsi:type="dcterms:W3CDTF">2017-07-28T00:16:00Z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A661073</vt:lpwstr>
  </property>
  <property fmtid="{D5CDD505-2E9C-101B-9397-08002B2CF9AE}" pid="3" name="Objective-Title">
    <vt:lpwstr>Stage 1 Geography pre-approved LAP-04</vt:lpwstr>
  </property>
  <property fmtid="{D5CDD505-2E9C-101B-9397-08002B2CF9AE}" pid="4" name="Objective-Comment">
    <vt:lpwstr/>
  </property>
  <property fmtid="{D5CDD505-2E9C-101B-9397-08002B2CF9AE}" pid="5" name="Objective-CreationStamp">
    <vt:filetime>2017-07-27T07:04:16Z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2017-07-27T07:06:39Z</vt:filetime>
  </property>
  <property fmtid="{D5CDD505-2E9C-101B-9397-08002B2CF9AE}" pid="9" name="Objective-ModificationStamp">
    <vt:filetime>2017-07-27T07:06:39Z</vt:filetime>
  </property>
  <property fmtid="{D5CDD505-2E9C-101B-9397-08002B2CF9AE}" pid="10" name="Objective-Owner">
    <vt:lpwstr>Simone Hitch</vt:lpwstr>
  </property>
  <property fmtid="{D5CDD505-2E9C-101B-9397-08002B2CF9AE}" pid="11" name="Objective-Path">
    <vt:lpwstr>Objective Global Folder:SACE Support Materials:SACE Support Materials Stage 1:Humanities and Social Sciences:Geography (from 2017):Pre-approved LAPs (previously LAP exemplars)</vt:lpwstr>
  </property>
  <property fmtid="{D5CDD505-2E9C-101B-9397-08002B2CF9AE}" pid="12" name="Objective-Parent">
    <vt:lpwstr>Pre-approved LAPs (previously LAP exemplars)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qA14522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vA1163800</vt:lpwstr>
  </property>
</Properties>
</file>