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318" w:type="dxa"/>
        <w:tblLook w:val="04A0" w:firstRow="1" w:lastRow="0" w:firstColumn="1" w:lastColumn="0" w:noHBand="0" w:noVBand="1"/>
      </w:tblPr>
      <w:tblGrid>
        <w:gridCol w:w="14743"/>
      </w:tblGrid>
      <w:tr w:rsidR="00AD784A" w:rsidTr="009905C9">
        <w:tc>
          <w:tcPr>
            <w:tcW w:w="14743" w:type="dxa"/>
          </w:tcPr>
          <w:p w:rsidR="00AD784A" w:rsidRPr="00AD784A" w:rsidRDefault="00AD784A">
            <w:pPr>
              <w:rPr>
                <w:b/>
              </w:rPr>
            </w:pPr>
            <w:r w:rsidRPr="00AD784A">
              <w:rPr>
                <w:b/>
                <w:sz w:val="28"/>
              </w:rPr>
              <w:t>STAGE 2 Essential Mathematics – Guidelines for determining complexity of mathematical calculations</w:t>
            </w:r>
          </w:p>
        </w:tc>
      </w:tr>
      <w:tr w:rsidR="00AD784A" w:rsidTr="009905C9">
        <w:tc>
          <w:tcPr>
            <w:tcW w:w="14743" w:type="dxa"/>
          </w:tcPr>
          <w:p w:rsidR="00AD784A" w:rsidRDefault="0061427C">
            <w:r>
              <w:t xml:space="preserve">Note - </w:t>
            </w:r>
            <w:r w:rsidRPr="002C19FB">
              <w:rPr>
                <w:rFonts w:cs="Arial"/>
              </w:rPr>
              <w:t xml:space="preserve">The outline below is intended as a guide only. In all topics the complexity of questions in SATs is also be affected by the degree to which they are scaffolded. Questions in which the steps of a complex calculation are spelled out become more </w:t>
            </w:r>
            <w:proofErr w:type="gramStart"/>
            <w:r w:rsidRPr="002C19FB">
              <w:rPr>
                <w:rFonts w:cs="Arial"/>
              </w:rPr>
              <w:t>routine</w:t>
            </w:r>
            <w:proofErr w:type="gramEnd"/>
            <w:r w:rsidRPr="002C19FB">
              <w:rPr>
                <w:rFonts w:cs="Arial"/>
              </w:rPr>
              <w:t>.</w:t>
            </w:r>
          </w:p>
        </w:tc>
      </w:tr>
    </w:tbl>
    <w:p w:rsidR="00AD784A" w:rsidRDefault="00AD784A"/>
    <w:tbl>
      <w:tblPr>
        <w:tblStyle w:val="TableGrid"/>
        <w:tblW w:w="14743" w:type="dxa"/>
        <w:tblInd w:w="-318" w:type="dxa"/>
        <w:tblLook w:val="04A0" w:firstRow="1" w:lastRow="0" w:firstColumn="1" w:lastColumn="0" w:noHBand="0" w:noVBand="1"/>
      </w:tblPr>
      <w:tblGrid>
        <w:gridCol w:w="2694"/>
        <w:gridCol w:w="5954"/>
        <w:gridCol w:w="6095"/>
      </w:tblGrid>
      <w:tr w:rsidR="00AD784A" w:rsidRPr="0061427C" w:rsidTr="009905C9">
        <w:tc>
          <w:tcPr>
            <w:tcW w:w="14743" w:type="dxa"/>
            <w:gridSpan w:val="3"/>
          </w:tcPr>
          <w:p w:rsidR="00AD784A" w:rsidRPr="0061427C" w:rsidRDefault="00AD784A" w:rsidP="0038317F">
            <w:pPr>
              <w:spacing w:before="120" w:after="120"/>
              <w:rPr>
                <w:b/>
                <w:sz w:val="32"/>
              </w:rPr>
            </w:pPr>
            <w:r w:rsidRPr="0061427C">
              <w:rPr>
                <w:b/>
                <w:sz w:val="32"/>
              </w:rPr>
              <w:t>Topic 1 – Scales, Plans, and Models</w:t>
            </w:r>
          </w:p>
        </w:tc>
      </w:tr>
      <w:tr w:rsidR="0061427C" w:rsidTr="00D32034">
        <w:tc>
          <w:tcPr>
            <w:tcW w:w="2694" w:type="dxa"/>
          </w:tcPr>
          <w:p w:rsidR="0061427C" w:rsidRPr="00AD784A" w:rsidRDefault="0061427C" w:rsidP="0038317F">
            <w:pPr>
              <w:spacing w:before="120" w:after="120"/>
              <w:rPr>
                <w:b/>
              </w:rPr>
            </w:pPr>
            <w:r w:rsidRPr="00AD784A">
              <w:rPr>
                <w:b/>
              </w:rPr>
              <w:t>CONTENT</w:t>
            </w:r>
          </w:p>
        </w:tc>
        <w:tc>
          <w:tcPr>
            <w:tcW w:w="5954" w:type="dxa"/>
          </w:tcPr>
          <w:p w:rsidR="0061427C" w:rsidRPr="00AD784A" w:rsidRDefault="0061427C" w:rsidP="0038317F">
            <w:pPr>
              <w:spacing w:before="120" w:after="120"/>
              <w:rPr>
                <w:b/>
              </w:rPr>
            </w:pPr>
            <w:r w:rsidRPr="00AD784A">
              <w:rPr>
                <w:b/>
              </w:rPr>
              <w:t>ROUTINE</w:t>
            </w:r>
          </w:p>
        </w:tc>
        <w:tc>
          <w:tcPr>
            <w:tcW w:w="6095" w:type="dxa"/>
          </w:tcPr>
          <w:p w:rsidR="0061427C" w:rsidRPr="00AD784A" w:rsidRDefault="0061427C" w:rsidP="0038317F">
            <w:pPr>
              <w:spacing w:before="120" w:after="120"/>
              <w:rPr>
                <w:b/>
              </w:rPr>
            </w:pPr>
            <w:r w:rsidRPr="00AD784A">
              <w:rPr>
                <w:b/>
              </w:rPr>
              <w:t>COMPLEX</w:t>
            </w:r>
          </w:p>
        </w:tc>
      </w:tr>
      <w:tr w:rsidR="00AD784A" w:rsidTr="00D32034">
        <w:tc>
          <w:tcPr>
            <w:tcW w:w="2694" w:type="dxa"/>
            <w:vAlign w:val="center"/>
          </w:tcPr>
          <w:p w:rsidR="00AD784A" w:rsidRPr="0098371C" w:rsidRDefault="00BD3D10" w:rsidP="00DF054C">
            <w:pPr>
              <w:spacing w:before="20" w:after="20"/>
              <w:rPr>
                <w:sz w:val="20"/>
              </w:rPr>
            </w:pPr>
            <w:r w:rsidRPr="0098371C">
              <w:rPr>
                <w:sz w:val="20"/>
              </w:rPr>
              <w:t>1.1 Geometry</w:t>
            </w:r>
          </w:p>
        </w:tc>
        <w:tc>
          <w:tcPr>
            <w:tcW w:w="5954" w:type="dxa"/>
            <w:vAlign w:val="center"/>
          </w:tcPr>
          <w:p w:rsidR="00AD784A" w:rsidRPr="0098371C" w:rsidRDefault="00BD3D10" w:rsidP="0038317F">
            <w:pPr>
              <w:spacing w:before="40" w:after="40"/>
              <w:rPr>
                <w:sz w:val="20"/>
              </w:rPr>
            </w:pPr>
            <w:r w:rsidRPr="0098371C">
              <w:rPr>
                <w:sz w:val="20"/>
              </w:rPr>
              <w:t xml:space="preserve">Names and properties of 2D </w:t>
            </w:r>
            <w:proofErr w:type="gramStart"/>
            <w:r w:rsidRPr="0098371C">
              <w:rPr>
                <w:sz w:val="20"/>
              </w:rPr>
              <w:t>shapes</w:t>
            </w:r>
            <w:proofErr w:type="gramEnd"/>
            <w:r w:rsidRPr="0098371C">
              <w:rPr>
                <w:sz w:val="20"/>
              </w:rPr>
              <w:t xml:space="preserve"> (number of vertices and edges) and 3D shapes (number of vertices, faces and edges)</w:t>
            </w:r>
            <w:r w:rsidR="002671B3" w:rsidRPr="0098371C">
              <w:rPr>
                <w:sz w:val="20"/>
              </w:rPr>
              <w:t>.</w:t>
            </w:r>
          </w:p>
        </w:tc>
        <w:tc>
          <w:tcPr>
            <w:tcW w:w="6095" w:type="dxa"/>
            <w:vAlign w:val="center"/>
          </w:tcPr>
          <w:p w:rsidR="00AD784A" w:rsidRPr="0098371C" w:rsidRDefault="0038317F" w:rsidP="0038317F">
            <w:pPr>
              <w:spacing w:before="40" w:after="40"/>
              <w:rPr>
                <w:sz w:val="20"/>
              </w:rPr>
            </w:pPr>
            <w:r w:rsidRPr="0098371C">
              <w:rPr>
                <w:sz w:val="20"/>
              </w:rPr>
              <w:t>Describing the difference between prisms and pyramids.</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BD3D10" w:rsidP="0038317F">
            <w:pPr>
              <w:spacing w:before="40" w:after="40"/>
              <w:rPr>
                <w:sz w:val="20"/>
              </w:rPr>
            </w:pPr>
            <w:r w:rsidRPr="0098371C">
              <w:rPr>
                <w:sz w:val="20"/>
              </w:rPr>
              <w:t>Identifying a 3D solid from a given net</w:t>
            </w:r>
            <w:r w:rsidR="002671B3" w:rsidRPr="0098371C">
              <w:rPr>
                <w:sz w:val="20"/>
              </w:rPr>
              <w:t>.</w:t>
            </w:r>
          </w:p>
        </w:tc>
        <w:tc>
          <w:tcPr>
            <w:tcW w:w="6095" w:type="dxa"/>
            <w:vAlign w:val="center"/>
          </w:tcPr>
          <w:p w:rsidR="00AD784A" w:rsidRPr="0098371C" w:rsidRDefault="00AD784A" w:rsidP="0038317F">
            <w:pPr>
              <w:spacing w:before="40" w:after="40"/>
              <w:rPr>
                <w:sz w:val="20"/>
              </w:rPr>
            </w:pP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DF054C" w:rsidP="0038317F">
            <w:pPr>
              <w:spacing w:before="40" w:after="40"/>
              <w:rPr>
                <w:sz w:val="20"/>
              </w:rPr>
            </w:pPr>
            <w:r w:rsidRPr="0098371C">
              <w:rPr>
                <w:sz w:val="20"/>
              </w:rPr>
              <w:t xml:space="preserve">Constructing a net for </w:t>
            </w:r>
            <w:r w:rsidR="00BD3D10" w:rsidRPr="0098371C">
              <w:rPr>
                <w:sz w:val="20"/>
              </w:rPr>
              <w:t>3D solid (not to scale)</w:t>
            </w:r>
            <w:r w:rsidR="002671B3" w:rsidRPr="0098371C">
              <w:rPr>
                <w:sz w:val="20"/>
              </w:rPr>
              <w:t>.</w:t>
            </w:r>
          </w:p>
        </w:tc>
        <w:tc>
          <w:tcPr>
            <w:tcW w:w="6095" w:type="dxa"/>
            <w:vAlign w:val="center"/>
          </w:tcPr>
          <w:p w:rsidR="00AD784A" w:rsidRPr="0098371C" w:rsidRDefault="00DF054C" w:rsidP="0038317F">
            <w:pPr>
              <w:spacing w:before="40" w:after="40"/>
              <w:rPr>
                <w:sz w:val="20"/>
              </w:rPr>
            </w:pPr>
            <w:r w:rsidRPr="0098371C">
              <w:rPr>
                <w:sz w:val="20"/>
              </w:rPr>
              <w:t xml:space="preserve">Constructing a net for </w:t>
            </w:r>
            <w:r w:rsidR="00BD3D10" w:rsidRPr="0098371C">
              <w:rPr>
                <w:sz w:val="20"/>
              </w:rPr>
              <w:t>3D solid</w:t>
            </w:r>
            <w:r w:rsidRPr="0098371C">
              <w:rPr>
                <w:sz w:val="20"/>
              </w:rPr>
              <w:t xml:space="preserve"> (</w:t>
            </w:r>
            <w:r w:rsidR="0038317F" w:rsidRPr="0098371C">
              <w:rPr>
                <w:sz w:val="20"/>
              </w:rPr>
              <w:t xml:space="preserve">to </w:t>
            </w:r>
            <w:r w:rsidR="00BD3D10" w:rsidRPr="0098371C">
              <w:rPr>
                <w:sz w:val="20"/>
              </w:rPr>
              <w:t>scale)</w:t>
            </w:r>
            <w:r w:rsidR="002671B3" w:rsidRPr="0098371C">
              <w:rPr>
                <w:sz w:val="20"/>
              </w:rPr>
              <w:t>.</w:t>
            </w:r>
          </w:p>
        </w:tc>
      </w:tr>
      <w:tr w:rsidR="00DF054C" w:rsidTr="00D32034">
        <w:tc>
          <w:tcPr>
            <w:tcW w:w="2694" w:type="dxa"/>
            <w:vAlign w:val="center"/>
          </w:tcPr>
          <w:p w:rsidR="00DF054C" w:rsidRPr="0098371C" w:rsidRDefault="00DF054C" w:rsidP="00DF054C">
            <w:pPr>
              <w:spacing w:before="20" w:after="20"/>
              <w:rPr>
                <w:sz w:val="20"/>
              </w:rPr>
            </w:pPr>
            <w:r w:rsidRPr="0098371C">
              <w:rPr>
                <w:sz w:val="20"/>
              </w:rPr>
              <w:t>1.2 Scale diagrams</w:t>
            </w:r>
          </w:p>
        </w:tc>
        <w:tc>
          <w:tcPr>
            <w:tcW w:w="5954" w:type="dxa"/>
            <w:vAlign w:val="center"/>
          </w:tcPr>
          <w:p w:rsidR="00DF054C" w:rsidRPr="0098371C" w:rsidRDefault="006977CB" w:rsidP="0038317F">
            <w:pPr>
              <w:spacing w:before="40" w:after="40"/>
              <w:rPr>
                <w:sz w:val="20"/>
              </w:rPr>
            </w:pPr>
            <w:r w:rsidRPr="0098371C">
              <w:rPr>
                <w:sz w:val="20"/>
              </w:rPr>
              <w:t>Gaining information</w:t>
            </w:r>
            <w:r w:rsidR="00DF054C" w:rsidRPr="0098371C">
              <w:rPr>
                <w:sz w:val="20"/>
              </w:rPr>
              <w:t xml:space="preserve"> to find lengths, perimeters and simple </w:t>
            </w:r>
            <w:r w:rsidRPr="0098371C">
              <w:rPr>
                <w:sz w:val="20"/>
              </w:rPr>
              <w:t>areas from</w:t>
            </w:r>
            <w:r w:rsidR="00DF054C" w:rsidRPr="0098371C">
              <w:rPr>
                <w:sz w:val="20"/>
              </w:rPr>
              <w:t xml:space="preserve"> provided 2D</w:t>
            </w:r>
            <w:r w:rsidR="001E5A79" w:rsidRPr="0098371C">
              <w:rPr>
                <w:sz w:val="20"/>
              </w:rPr>
              <w:t xml:space="preserve"> or 3D</w:t>
            </w:r>
            <w:r w:rsidR="00DF054C" w:rsidRPr="0098371C">
              <w:rPr>
                <w:sz w:val="20"/>
              </w:rPr>
              <w:t xml:space="preserve"> </w:t>
            </w:r>
            <w:r w:rsidR="0038317F" w:rsidRPr="0098371C">
              <w:rPr>
                <w:sz w:val="20"/>
              </w:rPr>
              <w:t xml:space="preserve">scale </w:t>
            </w:r>
            <w:r w:rsidR="00DF054C" w:rsidRPr="0098371C">
              <w:rPr>
                <w:sz w:val="20"/>
              </w:rPr>
              <w:t>representations.</w:t>
            </w:r>
          </w:p>
        </w:tc>
        <w:tc>
          <w:tcPr>
            <w:tcW w:w="6095" w:type="dxa"/>
            <w:vAlign w:val="center"/>
          </w:tcPr>
          <w:p w:rsidR="00DF054C" w:rsidRPr="0098371C" w:rsidRDefault="0038317F" w:rsidP="0038317F">
            <w:pPr>
              <w:spacing w:before="40" w:after="40"/>
              <w:rPr>
                <w:sz w:val="20"/>
              </w:rPr>
            </w:pPr>
            <w:r w:rsidRPr="0098371C">
              <w:rPr>
                <w:sz w:val="20"/>
              </w:rPr>
              <w:t>Using</w:t>
            </w:r>
            <w:r w:rsidR="00DF054C" w:rsidRPr="0098371C">
              <w:rPr>
                <w:sz w:val="20"/>
              </w:rPr>
              <w:t xml:space="preserve"> 2D scale </w:t>
            </w:r>
            <w:r w:rsidRPr="0098371C">
              <w:rPr>
                <w:sz w:val="20"/>
              </w:rPr>
              <w:t>representations</w:t>
            </w:r>
            <w:r w:rsidR="00DF054C" w:rsidRPr="0098371C">
              <w:rPr>
                <w:sz w:val="20"/>
              </w:rPr>
              <w:t xml:space="preserve"> </w:t>
            </w:r>
            <w:r w:rsidRPr="0098371C">
              <w:rPr>
                <w:sz w:val="20"/>
              </w:rPr>
              <w:t>to find compound areas.</w:t>
            </w:r>
          </w:p>
        </w:tc>
      </w:tr>
      <w:tr w:rsidR="00DF054C" w:rsidTr="00D32034">
        <w:tc>
          <w:tcPr>
            <w:tcW w:w="2694" w:type="dxa"/>
            <w:vAlign w:val="center"/>
          </w:tcPr>
          <w:p w:rsidR="00DF054C" w:rsidRPr="0098371C" w:rsidRDefault="00DF054C" w:rsidP="00DF054C">
            <w:pPr>
              <w:spacing w:before="20" w:after="20"/>
              <w:rPr>
                <w:sz w:val="20"/>
              </w:rPr>
            </w:pPr>
          </w:p>
        </w:tc>
        <w:tc>
          <w:tcPr>
            <w:tcW w:w="5954" w:type="dxa"/>
            <w:vAlign w:val="center"/>
          </w:tcPr>
          <w:p w:rsidR="00DF054C" w:rsidRPr="0098371C" w:rsidRDefault="00DF054C" w:rsidP="0038317F">
            <w:pPr>
              <w:spacing w:before="40" w:after="40"/>
              <w:rPr>
                <w:sz w:val="20"/>
              </w:rPr>
            </w:pPr>
            <w:r w:rsidRPr="0098371C">
              <w:rPr>
                <w:sz w:val="20"/>
              </w:rPr>
              <w:t>Measuring angles and determining bearings of provided 2D representations.</w:t>
            </w:r>
          </w:p>
        </w:tc>
        <w:tc>
          <w:tcPr>
            <w:tcW w:w="6095" w:type="dxa"/>
            <w:vAlign w:val="center"/>
          </w:tcPr>
          <w:p w:rsidR="00DF054C" w:rsidRPr="0098371C" w:rsidRDefault="0038317F" w:rsidP="00661018">
            <w:pPr>
              <w:spacing w:before="40" w:after="40"/>
              <w:rPr>
                <w:sz w:val="20"/>
              </w:rPr>
            </w:pPr>
            <w:r w:rsidRPr="0098371C">
              <w:rPr>
                <w:sz w:val="20"/>
              </w:rPr>
              <w:t xml:space="preserve">Creating 2D </w:t>
            </w:r>
            <w:r w:rsidR="001E5A79" w:rsidRPr="0098371C">
              <w:rPr>
                <w:sz w:val="20"/>
              </w:rPr>
              <w:t xml:space="preserve">and 3D </w:t>
            </w:r>
            <w:r w:rsidRPr="0098371C">
              <w:rPr>
                <w:sz w:val="20"/>
              </w:rPr>
              <w:t>scale representation</w:t>
            </w:r>
            <w:r w:rsidR="0097363F">
              <w:rPr>
                <w:sz w:val="20"/>
              </w:rPr>
              <w:t>s</w:t>
            </w:r>
            <w:r w:rsidR="00661018">
              <w:rPr>
                <w:sz w:val="20"/>
              </w:rPr>
              <w:t xml:space="preserve"> from unstructured information</w:t>
            </w:r>
            <w:r w:rsidR="0097363F">
              <w:rPr>
                <w:sz w:val="20"/>
              </w:rPr>
              <w:t xml:space="preserve"> (including distances, angles, </w:t>
            </w:r>
            <w:proofErr w:type="gramStart"/>
            <w:r w:rsidR="0097363F">
              <w:rPr>
                <w:sz w:val="20"/>
              </w:rPr>
              <w:t>bearings</w:t>
            </w:r>
            <w:proofErr w:type="gramEnd"/>
            <w:r w:rsidR="0097363F">
              <w:rPr>
                <w:sz w:val="20"/>
              </w:rPr>
              <w:t>).</w:t>
            </w:r>
          </w:p>
        </w:tc>
      </w:tr>
      <w:tr w:rsidR="00D241F3" w:rsidTr="00D32034">
        <w:tc>
          <w:tcPr>
            <w:tcW w:w="2694" w:type="dxa"/>
            <w:vAlign w:val="center"/>
          </w:tcPr>
          <w:p w:rsidR="00D241F3" w:rsidRPr="0098371C" w:rsidRDefault="00D241F3" w:rsidP="00DF054C">
            <w:pPr>
              <w:spacing w:before="20" w:after="20"/>
              <w:rPr>
                <w:sz w:val="20"/>
              </w:rPr>
            </w:pPr>
          </w:p>
        </w:tc>
        <w:tc>
          <w:tcPr>
            <w:tcW w:w="5954" w:type="dxa"/>
            <w:vAlign w:val="center"/>
          </w:tcPr>
          <w:p w:rsidR="00D241F3" w:rsidRPr="0098371C" w:rsidRDefault="006977CB" w:rsidP="0038317F">
            <w:pPr>
              <w:spacing w:before="40" w:after="40"/>
              <w:rPr>
                <w:sz w:val="20"/>
              </w:rPr>
            </w:pPr>
            <w:r w:rsidRPr="0098371C">
              <w:rPr>
                <w:sz w:val="20"/>
              </w:rPr>
              <w:t>Discussion of the a</w:t>
            </w:r>
            <w:r w:rsidR="00D241F3" w:rsidRPr="0098371C">
              <w:rPr>
                <w:sz w:val="20"/>
              </w:rPr>
              <w:t>ccuracy of measur</w:t>
            </w:r>
            <w:r w:rsidR="002671B3" w:rsidRPr="0098371C">
              <w:rPr>
                <w:sz w:val="20"/>
              </w:rPr>
              <w:t>e</w:t>
            </w:r>
            <w:r w:rsidR="00D241F3" w:rsidRPr="0098371C">
              <w:rPr>
                <w:sz w:val="20"/>
              </w:rPr>
              <w:t>ments.</w:t>
            </w:r>
            <w:r w:rsidR="00DF054C" w:rsidRPr="0098371C">
              <w:rPr>
                <w:sz w:val="20"/>
              </w:rPr>
              <w:t xml:space="preserve"> </w:t>
            </w:r>
          </w:p>
        </w:tc>
        <w:tc>
          <w:tcPr>
            <w:tcW w:w="6095" w:type="dxa"/>
            <w:vAlign w:val="center"/>
          </w:tcPr>
          <w:p w:rsidR="001E5A79" w:rsidRPr="0098371C" w:rsidRDefault="00DF054C" w:rsidP="0038317F">
            <w:pPr>
              <w:spacing w:before="40" w:after="40"/>
              <w:rPr>
                <w:sz w:val="20"/>
              </w:rPr>
            </w:pPr>
            <w:r w:rsidRPr="0098371C">
              <w:rPr>
                <w:sz w:val="20"/>
              </w:rPr>
              <w:t>Considering the reasonableness of answers, including an u</w:t>
            </w:r>
            <w:r w:rsidR="00D241F3" w:rsidRPr="0098371C">
              <w:rPr>
                <w:sz w:val="20"/>
              </w:rPr>
              <w:t xml:space="preserve">nderstanding </w:t>
            </w:r>
            <w:r w:rsidRPr="0098371C">
              <w:rPr>
                <w:sz w:val="20"/>
              </w:rPr>
              <w:t xml:space="preserve">of </w:t>
            </w:r>
            <w:r w:rsidR="00D241F3" w:rsidRPr="0098371C">
              <w:rPr>
                <w:sz w:val="20"/>
              </w:rPr>
              <w:t xml:space="preserve">the effect errors have on the accuracy of </w:t>
            </w:r>
            <w:r w:rsidR="0097363F">
              <w:rPr>
                <w:sz w:val="20"/>
              </w:rPr>
              <w:t>measurements and calculated values</w:t>
            </w:r>
            <w:r w:rsidR="002671B3" w:rsidRPr="0098371C">
              <w:rPr>
                <w:sz w:val="20"/>
              </w:rPr>
              <w:t>.</w:t>
            </w:r>
            <w:r w:rsidR="006977CB" w:rsidRPr="0098371C">
              <w:rPr>
                <w:sz w:val="20"/>
              </w:rPr>
              <w:t xml:space="preserve"> </w:t>
            </w:r>
          </w:p>
          <w:p w:rsidR="00D241F3" w:rsidRPr="0098371C" w:rsidRDefault="006977CB" w:rsidP="0038317F">
            <w:pPr>
              <w:spacing w:before="40" w:after="40"/>
              <w:rPr>
                <w:sz w:val="20"/>
              </w:rPr>
            </w:pPr>
            <w:r w:rsidRPr="0098371C">
              <w:rPr>
                <w:sz w:val="20"/>
              </w:rPr>
              <w:t>(Note: calculations</w:t>
            </w:r>
            <w:r w:rsidR="001E5A79" w:rsidRPr="0098371C">
              <w:rPr>
                <w:sz w:val="20"/>
              </w:rPr>
              <w:t xml:space="preserve"> of absolute and</w:t>
            </w:r>
            <w:r w:rsidRPr="0098371C">
              <w:rPr>
                <w:sz w:val="20"/>
              </w:rPr>
              <w:t xml:space="preserve"> relative errors are not required) </w:t>
            </w:r>
          </w:p>
        </w:tc>
      </w:tr>
    </w:tbl>
    <w:p w:rsidR="002671B3" w:rsidRDefault="002671B3"/>
    <w:tbl>
      <w:tblPr>
        <w:tblStyle w:val="TableGrid"/>
        <w:tblW w:w="14743" w:type="dxa"/>
        <w:tblInd w:w="-318" w:type="dxa"/>
        <w:tblLook w:val="04A0" w:firstRow="1" w:lastRow="0" w:firstColumn="1" w:lastColumn="0" w:noHBand="0" w:noVBand="1"/>
      </w:tblPr>
      <w:tblGrid>
        <w:gridCol w:w="2694"/>
        <w:gridCol w:w="5954"/>
        <w:gridCol w:w="6095"/>
      </w:tblGrid>
      <w:tr w:rsidR="00AD784A" w:rsidRPr="0061427C" w:rsidTr="009905C9">
        <w:tc>
          <w:tcPr>
            <w:tcW w:w="14743" w:type="dxa"/>
            <w:gridSpan w:val="3"/>
          </w:tcPr>
          <w:p w:rsidR="00AD784A" w:rsidRPr="0061427C" w:rsidRDefault="00AD784A" w:rsidP="0038317F">
            <w:pPr>
              <w:spacing w:before="120" w:after="120"/>
              <w:rPr>
                <w:b/>
                <w:sz w:val="32"/>
              </w:rPr>
            </w:pPr>
            <w:r w:rsidRPr="0061427C">
              <w:rPr>
                <w:b/>
                <w:sz w:val="32"/>
              </w:rPr>
              <w:t>Topic 2 - Measurement</w:t>
            </w:r>
          </w:p>
        </w:tc>
      </w:tr>
      <w:tr w:rsidR="0061427C" w:rsidTr="00D32034">
        <w:tc>
          <w:tcPr>
            <w:tcW w:w="2694" w:type="dxa"/>
          </w:tcPr>
          <w:p w:rsidR="0061427C" w:rsidRPr="00AD784A" w:rsidRDefault="0061427C" w:rsidP="0038317F">
            <w:pPr>
              <w:spacing w:before="120"/>
              <w:rPr>
                <w:b/>
              </w:rPr>
            </w:pPr>
            <w:r w:rsidRPr="00AD784A">
              <w:rPr>
                <w:b/>
              </w:rPr>
              <w:t>CONTENT</w:t>
            </w:r>
          </w:p>
        </w:tc>
        <w:tc>
          <w:tcPr>
            <w:tcW w:w="5954" w:type="dxa"/>
          </w:tcPr>
          <w:p w:rsidR="0061427C" w:rsidRPr="00AD784A" w:rsidRDefault="0061427C" w:rsidP="0038317F">
            <w:pPr>
              <w:spacing w:before="120" w:after="120"/>
              <w:rPr>
                <w:b/>
              </w:rPr>
            </w:pPr>
            <w:r w:rsidRPr="00AD784A">
              <w:rPr>
                <w:b/>
              </w:rPr>
              <w:t>ROUTINE</w:t>
            </w:r>
          </w:p>
        </w:tc>
        <w:tc>
          <w:tcPr>
            <w:tcW w:w="6095" w:type="dxa"/>
          </w:tcPr>
          <w:p w:rsidR="0061427C" w:rsidRPr="00AD784A" w:rsidRDefault="0061427C" w:rsidP="0038317F">
            <w:pPr>
              <w:spacing w:before="120" w:after="120"/>
              <w:rPr>
                <w:b/>
              </w:rPr>
            </w:pPr>
            <w:r w:rsidRPr="00AD784A">
              <w:rPr>
                <w:b/>
              </w:rPr>
              <w:t>COMPLEX</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AD784A" w:rsidP="0038317F">
            <w:pPr>
              <w:spacing w:before="40" w:after="40"/>
              <w:rPr>
                <w:sz w:val="20"/>
              </w:rPr>
            </w:pPr>
            <w:r w:rsidRPr="0098371C">
              <w:rPr>
                <w:rFonts w:cs="Arial"/>
                <w:sz w:val="20"/>
              </w:rPr>
              <w:t>Metric unit conversions and selection of appropriate units of measurement for length, area, volume and capacity. Conversion of imperial measurements (given the conversion information) to metric.</w:t>
            </w:r>
          </w:p>
        </w:tc>
        <w:tc>
          <w:tcPr>
            <w:tcW w:w="6095" w:type="dxa"/>
            <w:vAlign w:val="center"/>
          </w:tcPr>
          <w:p w:rsidR="00AD784A" w:rsidRPr="0098371C" w:rsidRDefault="00AD784A" w:rsidP="0038317F">
            <w:pPr>
              <w:spacing w:before="40" w:after="40"/>
              <w:rPr>
                <w:sz w:val="20"/>
              </w:rPr>
            </w:pPr>
          </w:p>
        </w:tc>
      </w:tr>
      <w:tr w:rsidR="00AD784A" w:rsidTr="00D32034">
        <w:tc>
          <w:tcPr>
            <w:tcW w:w="2694" w:type="dxa"/>
            <w:vAlign w:val="center"/>
          </w:tcPr>
          <w:p w:rsidR="00AD784A" w:rsidRPr="0098371C" w:rsidRDefault="00D241F3" w:rsidP="00DF054C">
            <w:pPr>
              <w:spacing w:before="20" w:after="20"/>
              <w:rPr>
                <w:sz w:val="20"/>
              </w:rPr>
            </w:pPr>
            <w:r w:rsidRPr="0098371C">
              <w:rPr>
                <w:rFonts w:cs="Arial"/>
                <w:sz w:val="20"/>
              </w:rPr>
              <w:t xml:space="preserve">2.1 </w:t>
            </w:r>
            <w:r w:rsidR="00AD784A" w:rsidRPr="0098371C">
              <w:rPr>
                <w:rFonts w:cs="Arial"/>
                <w:sz w:val="20"/>
              </w:rPr>
              <w:t>Linear measure</w:t>
            </w:r>
          </w:p>
        </w:tc>
        <w:tc>
          <w:tcPr>
            <w:tcW w:w="5954" w:type="dxa"/>
            <w:vAlign w:val="center"/>
          </w:tcPr>
          <w:p w:rsidR="00AD784A" w:rsidRPr="0098371C" w:rsidRDefault="00AD784A" w:rsidP="0038317F">
            <w:pPr>
              <w:spacing w:before="40" w:after="40"/>
              <w:rPr>
                <w:sz w:val="20"/>
              </w:rPr>
            </w:pPr>
            <w:r w:rsidRPr="0098371C">
              <w:rPr>
                <w:rFonts w:cs="Arial"/>
                <w:sz w:val="20"/>
              </w:rPr>
              <w:t>Estimation of distances.</w:t>
            </w:r>
          </w:p>
        </w:tc>
        <w:tc>
          <w:tcPr>
            <w:tcW w:w="6095" w:type="dxa"/>
            <w:vAlign w:val="center"/>
          </w:tcPr>
          <w:p w:rsidR="00AD784A" w:rsidRPr="0098371C" w:rsidRDefault="001E5A79" w:rsidP="0038317F">
            <w:pPr>
              <w:spacing w:before="40" w:after="40"/>
              <w:rPr>
                <w:sz w:val="20"/>
              </w:rPr>
            </w:pPr>
            <w:r w:rsidRPr="0098371C">
              <w:rPr>
                <w:rFonts w:cs="Arial"/>
                <w:sz w:val="20"/>
              </w:rPr>
              <w:t>Discussion</w:t>
            </w:r>
            <w:r w:rsidR="00AD784A" w:rsidRPr="0098371C">
              <w:rPr>
                <w:rFonts w:cs="Arial"/>
                <w:sz w:val="20"/>
              </w:rPr>
              <w:t xml:space="preserve"> of the level of accuracy required for a particular task.</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AD784A" w:rsidP="0028034F">
            <w:pPr>
              <w:spacing w:before="40" w:after="40"/>
              <w:rPr>
                <w:sz w:val="20"/>
              </w:rPr>
            </w:pPr>
            <w:r w:rsidRPr="0098371C">
              <w:rPr>
                <w:rFonts w:cs="Arial"/>
                <w:sz w:val="20"/>
              </w:rPr>
              <w:t xml:space="preserve">Perimeters of </w:t>
            </w:r>
            <w:r w:rsidR="0028034F" w:rsidRPr="0098371C">
              <w:rPr>
                <w:rFonts w:cs="Arial"/>
                <w:sz w:val="20"/>
              </w:rPr>
              <w:t>r</w:t>
            </w:r>
            <w:r w:rsidR="00C61CEF" w:rsidRPr="0098371C">
              <w:rPr>
                <w:rFonts w:cs="Arial"/>
                <w:sz w:val="20"/>
              </w:rPr>
              <w:t>egular and non-regular</w:t>
            </w:r>
            <w:r w:rsidRPr="0098371C">
              <w:rPr>
                <w:rFonts w:cs="Arial"/>
                <w:sz w:val="20"/>
              </w:rPr>
              <w:t xml:space="preserve"> shapes from given information, including composite shapes </w:t>
            </w:r>
            <w:r w:rsidR="0028034F" w:rsidRPr="0098371C">
              <w:rPr>
                <w:rFonts w:cs="Arial"/>
                <w:sz w:val="20"/>
              </w:rPr>
              <w:t>(</w:t>
            </w:r>
            <w:r w:rsidRPr="0098371C">
              <w:rPr>
                <w:rFonts w:cs="Arial"/>
                <w:sz w:val="20"/>
              </w:rPr>
              <w:t xml:space="preserve">not including </w:t>
            </w:r>
            <w:r w:rsidR="0028034F" w:rsidRPr="0098371C">
              <w:rPr>
                <w:rFonts w:cs="Arial"/>
                <w:sz w:val="20"/>
              </w:rPr>
              <w:t>circular shapes).</w:t>
            </w:r>
          </w:p>
        </w:tc>
        <w:tc>
          <w:tcPr>
            <w:tcW w:w="6095" w:type="dxa"/>
            <w:vAlign w:val="center"/>
          </w:tcPr>
          <w:p w:rsidR="00AD784A" w:rsidRPr="0098371C" w:rsidRDefault="00AD784A" w:rsidP="0038317F">
            <w:pPr>
              <w:spacing w:before="40" w:after="40"/>
              <w:rPr>
                <w:sz w:val="20"/>
              </w:rPr>
            </w:pPr>
            <w:r w:rsidRPr="0098371C">
              <w:rPr>
                <w:rFonts w:cs="Arial"/>
                <w:sz w:val="20"/>
              </w:rPr>
              <w:t>Circumference and perimeter of circles and arc lengths, and composite shapes including circular shapes.</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AD784A" w:rsidP="00C83D72">
            <w:pPr>
              <w:spacing w:before="40" w:after="40"/>
              <w:rPr>
                <w:sz w:val="20"/>
              </w:rPr>
            </w:pPr>
            <w:r w:rsidRPr="0098371C">
              <w:rPr>
                <w:rFonts w:cs="Arial"/>
                <w:sz w:val="20"/>
              </w:rPr>
              <w:t>Finding missing lengths using Pythagoras’ theorem, and missing lengths and angles for right-angled triangles</w:t>
            </w:r>
            <w:r w:rsidR="00D241F3" w:rsidRPr="0098371C">
              <w:rPr>
                <w:rFonts w:cs="Arial"/>
                <w:sz w:val="20"/>
              </w:rPr>
              <w:t xml:space="preserve"> using sine, cosine and tangent ratios</w:t>
            </w:r>
            <w:r w:rsidR="00D32034">
              <w:rPr>
                <w:rFonts w:cs="Arial"/>
                <w:sz w:val="20"/>
              </w:rPr>
              <w:t xml:space="preserve"> with</w:t>
            </w:r>
            <w:r w:rsidRPr="0098371C">
              <w:rPr>
                <w:rFonts w:cs="Arial"/>
                <w:sz w:val="20"/>
              </w:rPr>
              <w:t xml:space="preserve"> </w:t>
            </w:r>
            <w:r w:rsidR="00D32034">
              <w:rPr>
                <w:rFonts w:cs="Arial"/>
                <w:sz w:val="20"/>
              </w:rPr>
              <w:t>diagrams providing visual aid</w:t>
            </w:r>
            <w:r w:rsidRPr="0098371C">
              <w:rPr>
                <w:rFonts w:cs="Arial"/>
                <w:sz w:val="20"/>
              </w:rPr>
              <w:t>.</w:t>
            </w:r>
          </w:p>
        </w:tc>
        <w:tc>
          <w:tcPr>
            <w:tcW w:w="6095" w:type="dxa"/>
            <w:vAlign w:val="center"/>
          </w:tcPr>
          <w:p w:rsidR="00AD784A" w:rsidRPr="0098371C" w:rsidRDefault="002671B3" w:rsidP="00D32034">
            <w:pPr>
              <w:spacing w:before="40" w:after="40"/>
              <w:rPr>
                <w:sz w:val="20"/>
              </w:rPr>
            </w:pPr>
            <w:r w:rsidRPr="0098371C">
              <w:rPr>
                <w:rFonts w:cs="Arial"/>
                <w:sz w:val="20"/>
              </w:rPr>
              <w:t xml:space="preserve">Finding missing lengths using Pythagoras’ theorem, and missing lengths and angles for right-angled triangles using sine, cosine and tangent ratios </w:t>
            </w:r>
            <w:r w:rsidR="00D32034">
              <w:rPr>
                <w:rFonts w:cs="Arial"/>
                <w:sz w:val="20"/>
              </w:rPr>
              <w:t>without diagrams provided</w:t>
            </w:r>
            <w:r w:rsidR="00C83D72">
              <w:rPr>
                <w:rFonts w:cs="Arial"/>
                <w:sz w:val="20"/>
              </w:rPr>
              <w:t>.</w:t>
            </w:r>
          </w:p>
        </w:tc>
      </w:tr>
      <w:tr w:rsidR="002671B3" w:rsidTr="00D32034">
        <w:tc>
          <w:tcPr>
            <w:tcW w:w="2694" w:type="dxa"/>
            <w:vAlign w:val="center"/>
          </w:tcPr>
          <w:p w:rsidR="002671B3" w:rsidRPr="0098371C" w:rsidRDefault="002671B3" w:rsidP="00DF054C">
            <w:pPr>
              <w:spacing w:before="20" w:after="20"/>
              <w:rPr>
                <w:sz w:val="20"/>
              </w:rPr>
            </w:pPr>
          </w:p>
        </w:tc>
        <w:tc>
          <w:tcPr>
            <w:tcW w:w="5954" w:type="dxa"/>
            <w:vAlign w:val="center"/>
          </w:tcPr>
          <w:p w:rsidR="002671B3" w:rsidRPr="0098371C" w:rsidRDefault="002671B3" w:rsidP="00C83D72">
            <w:pPr>
              <w:spacing w:before="40" w:after="40"/>
              <w:rPr>
                <w:rFonts w:cs="Arial"/>
                <w:sz w:val="20"/>
              </w:rPr>
            </w:pPr>
          </w:p>
        </w:tc>
        <w:tc>
          <w:tcPr>
            <w:tcW w:w="6095" w:type="dxa"/>
            <w:vAlign w:val="center"/>
          </w:tcPr>
          <w:p w:rsidR="002671B3" w:rsidRPr="0098371C" w:rsidRDefault="002671B3" w:rsidP="00D32034">
            <w:pPr>
              <w:spacing w:before="40" w:after="40"/>
              <w:rPr>
                <w:rFonts w:cs="Arial"/>
                <w:sz w:val="20"/>
              </w:rPr>
            </w:pPr>
            <w:r w:rsidRPr="0098371C">
              <w:rPr>
                <w:rFonts w:cs="Arial"/>
                <w:sz w:val="20"/>
              </w:rPr>
              <w:t>Calculation of missing lengths and angles for non-right angled triangles using the Sine and Cosine rules</w:t>
            </w:r>
            <w:r w:rsidR="00D32034">
              <w:rPr>
                <w:rFonts w:cs="Arial"/>
                <w:sz w:val="20"/>
              </w:rPr>
              <w:t>.</w:t>
            </w:r>
          </w:p>
        </w:tc>
      </w:tr>
      <w:tr w:rsidR="00AD784A" w:rsidTr="00D32034">
        <w:tc>
          <w:tcPr>
            <w:tcW w:w="2694" w:type="dxa"/>
            <w:vAlign w:val="center"/>
          </w:tcPr>
          <w:p w:rsidR="00AD784A" w:rsidRPr="0098371C" w:rsidRDefault="002671B3" w:rsidP="00DF054C">
            <w:pPr>
              <w:spacing w:before="20" w:after="20"/>
              <w:rPr>
                <w:sz w:val="20"/>
                <w:szCs w:val="24"/>
              </w:rPr>
            </w:pPr>
            <w:r w:rsidRPr="0098371C">
              <w:rPr>
                <w:rFonts w:cs="Arial"/>
                <w:sz w:val="20"/>
                <w:szCs w:val="24"/>
              </w:rPr>
              <w:t xml:space="preserve">2.2 </w:t>
            </w:r>
            <w:r w:rsidR="00AD784A" w:rsidRPr="0098371C">
              <w:rPr>
                <w:rFonts w:cs="Arial"/>
                <w:sz w:val="20"/>
                <w:szCs w:val="24"/>
              </w:rPr>
              <w:t>Area Measure</w:t>
            </w:r>
          </w:p>
        </w:tc>
        <w:tc>
          <w:tcPr>
            <w:tcW w:w="5954" w:type="dxa"/>
            <w:vAlign w:val="center"/>
          </w:tcPr>
          <w:p w:rsidR="00AD784A" w:rsidRPr="0098371C" w:rsidRDefault="002671B3" w:rsidP="00661018">
            <w:pPr>
              <w:spacing w:before="40" w:after="40"/>
              <w:rPr>
                <w:sz w:val="20"/>
              </w:rPr>
            </w:pPr>
            <w:r w:rsidRPr="0098371C">
              <w:rPr>
                <w:rFonts w:cs="Arial"/>
                <w:sz w:val="20"/>
              </w:rPr>
              <w:t>Areas of</w:t>
            </w:r>
            <w:r w:rsidR="00AD784A" w:rsidRPr="0098371C">
              <w:rPr>
                <w:rFonts w:cs="Arial"/>
                <w:sz w:val="20"/>
              </w:rPr>
              <w:t xml:space="preserve"> </w:t>
            </w:r>
            <w:r w:rsidR="00661018">
              <w:rPr>
                <w:rFonts w:cs="Arial"/>
                <w:sz w:val="20"/>
              </w:rPr>
              <w:t xml:space="preserve">simple </w:t>
            </w:r>
            <w:r w:rsidR="00AD784A" w:rsidRPr="0098371C">
              <w:rPr>
                <w:rFonts w:cs="Arial"/>
                <w:sz w:val="20"/>
              </w:rPr>
              <w:t xml:space="preserve">shapes and composites of </w:t>
            </w:r>
            <w:r w:rsidR="00661018">
              <w:rPr>
                <w:rFonts w:cs="Arial"/>
                <w:sz w:val="20"/>
              </w:rPr>
              <w:t>simple</w:t>
            </w:r>
            <w:r w:rsidR="00C83D72">
              <w:rPr>
                <w:rFonts w:cs="Arial"/>
                <w:sz w:val="20"/>
              </w:rPr>
              <w:t xml:space="preserve"> shapes (not including circular shapes).</w:t>
            </w:r>
          </w:p>
        </w:tc>
        <w:tc>
          <w:tcPr>
            <w:tcW w:w="6095" w:type="dxa"/>
            <w:vAlign w:val="center"/>
          </w:tcPr>
          <w:p w:rsidR="00AD784A" w:rsidRPr="0098371C" w:rsidRDefault="00AD784A" w:rsidP="0038317F">
            <w:pPr>
              <w:spacing w:before="40" w:after="40"/>
              <w:rPr>
                <w:sz w:val="20"/>
              </w:rPr>
            </w:pPr>
            <w:r w:rsidRPr="0098371C">
              <w:rPr>
                <w:rFonts w:cs="Arial"/>
                <w:sz w:val="20"/>
              </w:rPr>
              <w:t>Area calculations for irregular shapes (including Simpson’s rule an</w:t>
            </w:r>
            <w:r w:rsidR="00C83D72">
              <w:rPr>
                <w:rFonts w:cs="Arial"/>
                <w:sz w:val="20"/>
              </w:rPr>
              <w:t>d approximation using polygons) and circles or parts of circles.</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2671B3" w:rsidP="0038317F">
            <w:pPr>
              <w:spacing w:before="40" w:after="40"/>
              <w:rPr>
                <w:sz w:val="20"/>
              </w:rPr>
            </w:pPr>
            <w:r w:rsidRPr="0098371C">
              <w:rPr>
                <w:rFonts w:cs="Arial"/>
                <w:sz w:val="20"/>
              </w:rPr>
              <w:t>Surface area of solids including c</w:t>
            </w:r>
            <w:r w:rsidR="00AD784A" w:rsidRPr="0098371C">
              <w:rPr>
                <w:rFonts w:cs="Arial"/>
                <w:sz w:val="20"/>
              </w:rPr>
              <w:t>ubes, rectangul</w:t>
            </w:r>
            <w:r w:rsidRPr="0098371C">
              <w:rPr>
                <w:rFonts w:cs="Arial"/>
                <w:sz w:val="20"/>
              </w:rPr>
              <w:t>ar- and triangular-based prisms.</w:t>
            </w:r>
          </w:p>
        </w:tc>
        <w:tc>
          <w:tcPr>
            <w:tcW w:w="6095" w:type="dxa"/>
            <w:vAlign w:val="center"/>
          </w:tcPr>
          <w:p w:rsidR="00AD784A" w:rsidRPr="0098371C" w:rsidRDefault="00AD784A" w:rsidP="0038317F">
            <w:pPr>
              <w:spacing w:before="40" w:after="40"/>
              <w:rPr>
                <w:sz w:val="20"/>
              </w:rPr>
            </w:pPr>
            <w:r w:rsidRPr="0098371C">
              <w:rPr>
                <w:rFonts w:cs="Arial"/>
                <w:sz w:val="20"/>
              </w:rPr>
              <w:t>Su</w:t>
            </w:r>
            <w:r w:rsidR="002671B3" w:rsidRPr="0098371C">
              <w:rPr>
                <w:rFonts w:cs="Arial"/>
                <w:sz w:val="20"/>
              </w:rPr>
              <w:t xml:space="preserve">rface area of solids including </w:t>
            </w:r>
            <w:r w:rsidRPr="0098371C">
              <w:rPr>
                <w:rFonts w:cs="Arial"/>
                <w:sz w:val="20"/>
              </w:rPr>
              <w:t>cylinders, pyramids, cones and spheres.  The surface area of simple composites of cubes, rectangul</w:t>
            </w:r>
            <w:r w:rsidR="002671B3" w:rsidRPr="0098371C">
              <w:rPr>
                <w:rFonts w:cs="Arial"/>
                <w:sz w:val="20"/>
              </w:rPr>
              <w:t>ar and triangular-shaped prisms, cylinders, pyramids, cones and spheres.</w:t>
            </w:r>
          </w:p>
        </w:tc>
      </w:tr>
      <w:tr w:rsidR="00AD784A" w:rsidTr="00D32034">
        <w:tc>
          <w:tcPr>
            <w:tcW w:w="2694" w:type="dxa"/>
            <w:vAlign w:val="center"/>
          </w:tcPr>
          <w:p w:rsidR="00AD784A" w:rsidRPr="0098371C" w:rsidRDefault="002671B3" w:rsidP="00DF054C">
            <w:pPr>
              <w:spacing w:before="20" w:after="20"/>
              <w:rPr>
                <w:sz w:val="20"/>
              </w:rPr>
            </w:pPr>
            <w:r w:rsidRPr="0098371C">
              <w:rPr>
                <w:rFonts w:cs="Arial"/>
                <w:sz w:val="20"/>
              </w:rPr>
              <w:t xml:space="preserve">2.3 </w:t>
            </w:r>
            <w:r w:rsidR="00AD784A" w:rsidRPr="0098371C">
              <w:rPr>
                <w:rFonts w:cs="Arial"/>
                <w:sz w:val="20"/>
              </w:rPr>
              <w:t>Mass, Volume and Capacity</w:t>
            </w:r>
          </w:p>
        </w:tc>
        <w:tc>
          <w:tcPr>
            <w:tcW w:w="5954" w:type="dxa"/>
            <w:vAlign w:val="center"/>
          </w:tcPr>
          <w:p w:rsidR="00AD784A" w:rsidRPr="0098371C" w:rsidRDefault="00032C6D" w:rsidP="0038317F">
            <w:pPr>
              <w:spacing w:before="40" w:after="40"/>
              <w:rPr>
                <w:sz w:val="20"/>
              </w:rPr>
            </w:pPr>
            <w:r w:rsidRPr="0098371C">
              <w:rPr>
                <w:rFonts w:cs="Arial"/>
                <w:sz w:val="20"/>
              </w:rPr>
              <w:t xml:space="preserve">Volume of solids including </w:t>
            </w:r>
            <w:r w:rsidR="00AD784A" w:rsidRPr="0098371C">
              <w:rPr>
                <w:rFonts w:cs="Arial"/>
                <w:sz w:val="20"/>
              </w:rPr>
              <w:t>cubes, rectangular- and triangular-based prisms.</w:t>
            </w:r>
          </w:p>
        </w:tc>
        <w:tc>
          <w:tcPr>
            <w:tcW w:w="6095" w:type="dxa"/>
            <w:vAlign w:val="center"/>
          </w:tcPr>
          <w:p w:rsidR="00AD784A" w:rsidRPr="0098371C" w:rsidRDefault="00032C6D" w:rsidP="0038317F">
            <w:pPr>
              <w:spacing w:before="40" w:after="40"/>
              <w:rPr>
                <w:sz w:val="20"/>
              </w:rPr>
            </w:pPr>
            <w:r w:rsidRPr="0098371C">
              <w:rPr>
                <w:rFonts w:cs="Arial"/>
                <w:sz w:val="20"/>
              </w:rPr>
              <w:t xml:space="preserve">Volume of solids including </w:t>
            </w:r>
            <w:r w:rsidR="00AD784A" w:rsidRPr="0098371C">
              <w:rPr>
                <w:rFonts w:cs="Arial"/>
                <w:sz w:val="20"/>
              </w:rPr>
              <w:t>cylinders, pyramids, cones and spheres.</w:t>
            </w:r>
          </w:p>
        </w:tc>
      </w:tr>
      <w:tr w:rsidR="00AD784A" w:rsidTr="00D32034">
        <w:tc>
          <w:tcPr>
            <w:tcW w:w="2694" w:type="dxa"/>
            <w:vAlign w:val="center"/>
          </w:tcPr>
          <w:p w:rsidR="00AD784A" w:rsidRPr="0098371C" w:rsidRDefault="00AD784A" w:rsidP="00DF054C">
            <w:pPr>
              <w:spacing w:before="20" w:after="20"/>
              <w:rPr>
                <w:sz w:val="20"/>
              </w:rPr>
            </w:pPr>
          </w:p>
        </w:tc>
        <w:tc>
          <w:tcPr>
            <w:tcW w:w="5954" w:type="dxa"/>
            <w:vAlign w:val="center"/>
          </w:tcPr>
          <w:p w:rsidR="00AD784A" w:rsidRPr="0098371C" w:rsidRDefault="00AD784A" w:rsidP="0038317F">
            <w:pPr>
              <w:spacing w:before="40" w:after="40"/>
              <w:rPr>
                <w:sz w:val="20"/>
              </w:rPr>
            </w:pPr>
            <w:r w:rsidRPr="0098371C">
              <w:rPr>
                <w:rFonts w:cs="Arial"/>
                <w:sz w:val="20"/>
              </w:rPr>
              <w:t>Using density to determine the volume or mass of a specified material.</w:t>
            </w:r>
          </w:p>
        </w:tc>
        <w:tc>
          <w:tcPr>
            <w:tcW w:w="6095" w:type="dxa"/>
            <w:vAlign w:val="center"/>
          </w:tcPr>
          <w:p w:rsidR="00AD784A" w:rsidRPr="0098371C" w:rsidRDefault="00C83D72" w:rsidP="00661018">
            <w:pPr>
              <w:spacing w:before="40" w:after="40"/>
              <w:rPr>
                <w:sz w:val="20"/>
              </w:rPr>
            </w:pPr>
            <w:r>
              <w:rPr>
                <w:rFonts w:cs="Arial"/>
                <w:sz w:val="20"/>
              </w:rPr>
              <w:t>Solving</w:t>
            </w:r>
            <w:r w:rsidR="00AD784A" w:rsidRPr="0098371C">
              <w:rPr>
                <w:rFonts w:cs="Arial"/>
                <w:sz w:val="20"/>
              </w:rPr>
              <w:t xml:space="preserve"> </w:t>
            </w:r>
            <w:r>
              <w:rPr>
                <w:rFonts w:cs="Arial"/>
                <w:sz w:val="20"/>
              </w:rPr>
              <w:t xml:space="preserve">multi-step </w:t>
            </w:r>
            <w:r w:rsidR="00AD784A" w:rsidRPr="0098371C">
              <w:rPr>
                <w:rFonts w:cs="Arial"/>
                <w:sz w:val="20"/>
              </w:rPr>
              <w:t xml:space="preserve">problems </w:t>
            </w:r>
            <w:r w:rsidR="00661018">
              <w:rPr>
                <w:rFonts w:cs="Arial"/>
                <w:sz w:val="20"/>
              </w:rPr>
              <w:t xml:space="preserve">involving density (e.g. </w:t>
            </w:r>
            <w:r w:rsidR="00661018" w:rsidRPr="0098371C">
              <w:rPr>
                <w:rFonts w:cs="Arial"/>
                <w:sz w:val="20"/>
              </w:rPr>
              <w:t>transporting materials where the number of loads required to transport the material is determined</w:t>
            </w:r>
            <w:r w:rsidR="00661018">
              <w:rPr>
                <w:rFonts w:cs="Arial"/>
                <w:sz w:val="20"/>
              </w:rPr>
              <w:t xml:space="preserve"> from density information.)</w:t>
            </w:r>
          </w:p>
        </w:tc>
      </w:tr>
    </w:tbl>
    <w:p w:rsidR="0061427C" w:rsidRDefault="0061427C"/>
    <w:tbl>
      <w:tblPr>
        <w:tblStyle w:val="TableGrid"/>
        <w:tblW w:w="14743" w:type="dxa"/>
        <w:tblInd w:w="-318" w:type="dxa"/>
        <w:tblLook w:val="04A0" w:firstRow="1" w:lastRow="0" w:firstColumn="1" w:lastColumn="0" w:noHBand="0" w:noVBand="1"/>
      </w:tblPr>
      <w:tblGrid>
        <w:gridCol w:w="2694"/>
        <w:gridCol w:w="5954"/>
        <w:gridCol w:w="6095"/>
      </w:tblGrid>
      <w:tr w:rsidR="0061427C" w:rsidRPr="0061427C" w:rsidTr="009905C9">
        <w:tc>
          <w:tcPr>
            <w:tcW w:w="14743" w:type="dxa"/>
            <w:gridSpan w:val="3"/>
          </w:tcPr>
          <w:p w:rsidR="0061427C" w:rsidRPr="0061427C" w:rsidRDefault="0061427C" w:rsidP="0038317F">
            <w:pPr>
              <w:spacing w:before="120" w:after="120"/>
              <w:rPr>
                <w:b/>
                <w:sz w:val="32"/>
              </w:rPr>
            </w:pPr>
            <w:r w:rsidRPr="0061427C">
              <w:rPr>
                <w:b/>
                <w:sz w:val="32"/>
              </w:rPr>
              <w:t>Topic 3 – Business Applications</w:t>
            </w:r>
          </w:p>
        </w:tc>
      </w:tr>
      <w:tr w:rsidR="0061427C" w:rsidTr="009105C4">
        <w:tc>
          <w:tcPr>
            <w:tcW w:w="2694" w:type="dxa"/>
          </w:tcPr>
          <w:p w:rsidR="0061427C" w:rsidRPr="00AD784A" w:rsidRDefault="0061427C" w:rsidP="0038317F">
            <w:pPr>
              <w:spacing w:before="120" w:after="120"/>
              <w:rPr>
                <w:b/>
              </w:rPr>
            </w:pPr>
            <w:r w:rsidRPr="00AD784A">
              <w:rPr>
                <w:b/>
              </w:rPr>
              <w:t>CONTENT</w:t>
            </w:r>
          </w:p>
        </w:tc>
        <w:tc>
          <w:tcPr>
            <w:tcW w:w="5954" w:type="dxa"/>
          </w:tcPr>
          <w:p w:rsidR="0061427C" w:rsidRPr="00AD784A" w:rsidRDefault="0061427C" w:rsidP="0038317F">
            <w:pPr>
              <w:spacing w:before="120" w:after="120"/>
              <w:rPr>
                <w:b/>
              </w:rPr>
            </w:pPr>
            <w:r w:rsidRPr="00AD784A">
              <w:rPr>
                <w:b/>
              </w:rPr>
              <w:t>ROUTINE</w:t>
            </w:r>
          </w:p>
        </w:tc>
        <w:tc>
          <w:tcPr>
            <w:tcW w:w="6095" w:type="dxa"/>
          </w:tcPr>
          <w:p w:rsidR="0061427C" w:rsidRPr="00AD784A" w:rsidRDefault="0061427C" w:rsidP="0038317F">
            <w:pPr>
              <w:spacing w:before="120" w:after="120"/>
              <w:rPr>
                <w:b/>
              </w:rPr>
            </w:pPr>
            <w:r w:rsidRPr="00AD784A">
              <w:rPr>
                <w:b/>
              </w:rPr>
              <w:t>COMPLEX</w:t>
            </w:r>
          </w:p>
        </w:tc>
      </w:tr>
      <w:tr w:rsidR="0061427C" w:rsidRPr="00032C6D" w:rsidTr="009105C4">
        <w:tc>
          <w:tcPr>
            <w:tcW w:w="2694" w:type="dxa"/>
            <w:vAlign w:val="center"/>
          </w:tcPr>
          <w:p w:rsidR="0061427C" w:rsidRPr="0098371C" w:rsidRDefault="00032C6D" w:rsidP="00DF054C">
            <w:pPr>
              <w:spacing w:before="20" w:after="20"/>
              <w:rPr>
                <w:sz w:val="20"/>
              </w:rPr>
            </w:pPr>
            <w:r w:rsidRPr="0098371C">
              <w:rPr>
                <w:rFonts w:cs="Arial"/>
                <w:sz w:val="20"/>
              </w:rPr>
              <w:t xml:space="preserve">3.1 </w:t>
            </w:r>
            <w:r w:rsidR="0061427C" w:rsidRPr="0098371C">
              <w:rPr>
                <w:rFonts w:cs="Arial"/>
                <w:sz w:val="20"/>
              </w:rPr>
              <w:t>Planning a Business Premises</w:t>
            </w:r>
          </w:p>
        </w:tc>
        <w:tc>
          <w:tcPr>
            <w:tcW w:w="5954" w:type="dxa"/>
            <w:vAlign w:val="center"/>
          </w:tcPr>
          <w:p w:rsidR="0061427C" w:rsidRPr="0098371C" w:rsidRDefault="0061427C" w:rsidP="0038317F">
            <w:pPr>
              <w:spacing w:before="40" w:after="40"/>
              <w:rPr>
                <w:sz w:val="20"/>
              </w:rPr>
            </w:pPr>
            <w:r w:rsidRPr="0098371C">
              <w:rPr>
                <w:rFonts w:cs="Arial"/>
                <w:sz w:val="20"/>
              </w:rPr>
              <w:t>Factors affecting location of business and choice of premises — comparison of location, facilities, costs of potential business premises.</w:t>
            </w:r>
          </w:p>
        </w:tc>
        <w:tc>
          <w:tcPr>
            <w:tcW w:w="6095" w:type="dxa"/>
            <w:vAlign w:val="center"/>
          </w:tcPr>
          <w:p w:rsidR="0061427C" w:rsidRPr="0098371C" w:rsidRDefault="0061427C" w:rsidP="0038317F">
            <w:pPr>
              <w:spacing w:before="40" w:after="40"/>
              <w:rPr>
                <w:sz w:val="20"/>
              </w:rPr>
            </w:pPr>
          </w:p>
        </w:tc>
      </w:tr>
      <w:tr w:rsidR="0061427C" w:rsidRPr="00032C6D" w:rsidTr="009105C4">
        <w:tc>
          <w:tcPr>
            <w:tcW w:w="2694" w:type="dxa"/>
            <w:vAlign w:val="center"/>
          </w:tcPr>
          <w:p w:rsidR="0061427C" w:rsidRPr="0098371C" w:rsidRDefault="00032C6D" w:rsidP="00DF054C">
            <w:pPr>
              <w:spacing w:before="20" w:after="20"/>
              <w:rPr>
                <w:sz w:val="20"/>
              </w:rPr>
            </w:pPr>
            <w:r w:rsidRPr="0098371C">
              <w:rPr>
                <w:rFonts w:cs="Arial"/>
                <w:sz w:val="20"/>
              </w:rPr>
              <w:t xml:space="preserve">3.2 </w:t>
            </w:r>
            <w:r w:rsidR="0061427C" w:rsidRPr="0098371C">
              <w:rPr>
                <w:rFonts w:cs="Arial"/>
                <w:sz w:val="20"/>
              </w:rPr>
              <w:t>Costing Calculations</w:t>
            </w:r>
          </w:p>
        </w:tc>
        <w:tc>
          <w:tcPr>
            <w:tcW w:w="5954" w:type="dxa"/>
            <w:vAlign w:val="center"/>
          </w:tcPr>
          <w:p w:rsidR="0061427C" w:rsidRPr="0098371C" w:rsidRDefault="0061427C" w:rsidP="0038317F">
            <w:pPr>
              <w:spacing w:before="40" w:after="40"/>
              <w:rPr>
                <w:sz w:val="20"/>
              </w:rPr>
            </w:pPr>
            <w:r w:rsidRPr="0098371C">
              <w:rPr>
                <w:rFonts w:cs="Arial"/>
                <w:sz w:val="20"/>
              </w:rPr>
              <w:t>Calculations of pricing structures including trade discount, net cost rate and series discounts.</w:t>
            </w:r>
          </w:p>
        </w:tc>
        <w:tc>
          <w:tcPr>
            <w:tcW w:w="6095" w:type="dxa"/>
            <w:vAlign w:val="center"/>
          </w:tcPr>
          <w:p w:rsidR="0061427C" w:rsidRPr="0098371C" w:rsidRDefault="0061427C" w:rsidP="0038317F">
            <w:pPr>
              <w:spacing w:before="40" w:after="40"/>
              <w:rPr>
                <w:sz w:val="20"/>
              </w:rPr>
            </w:pPr>
            <w:r w:rsidRPr="0098371C">
              <w:rPr>
                <w:rFonts w:cs="Arial"/>
                <w:sz w:val="20"/>
              </w:rPr>
              <w:t>Calculations of pricing structures involving several steps in the process where the question has been provided without parts leading the students through the multi-step problem.</w:t>
            </w:r>
          </w:p>
        </w:tc>
      </w:tr>
      <w:tr w:rsidR="0061427C" w:rsidRPr="00032C6D" w:rsidTr="009105C4">
        <w:tc>
          <w:tcPr>
            <w:tcW w:w="2694" w:type="dxa"/>
            <w:vAlign w:val="center"/>
          </w:tcPr>
          <w:p w:rsidR="0061427C" w:rsidRPr="0098371C" w:rsidRDefault="0061427C" w:rsidP="00DF054C">
            <w:pPr>
              <w:spacing w:before="20" w:after="20"/>
              <w:rPr>
                <w:sz w:val="20"/>
              </w:rPr>
            </w:pPr>
          </w:p>
        </w:tc>
        <w:tc>
          <w:tcPr>
            <w:tcW w:w="5954" w:type="dxa"/>
            <w:vAlign w:val="center"/>
          </w:tcPr>
          <w:p w:rsidR="0061427C" w:rsidRPr="0098371C" w:rsidRDefault="0087225B" w:rsidP="0038317F">
            <w:pPr>
              <w:spacing w:before="40" w:after="40"/>
              <w:rPr>
                <w:sz w:val="20"/>
              </w:rPr>
            </w:pPr>
            <w:r w:rsidRPr="0098371C">
              <w:rPr>
                <w:rFonts w:cs="Arial"/>
                <w:sz w:val="20"/>
              </w:rPr>
              <w:t>Calculation of Depreciation for both straight-line and reducing balance methods, and construction of depreciation graphs.</w:t>
            </w:r>
          </w:p>
        </w:tc>
        <w:tc>
          <w:tcPr>
            <w:tcW w:w="6095" w:type="dxa"/>
            <w:vAlign w:val="center"/>
          </w:tcPr>
          <w:p w:rsidR="0061427C" w:rsidRPr="0098371C" w:rsidRDefault="0087225B" w:rsidP="0038317F">
            <w:pPr>
              <w:spacing w:before="40" w:after="40"/>
              <w:rPr>
                <w:sz w:val="20"/>
              </w:rPr>
            </w:pPr>
            <w:r w:rsidRPr="0098371C">
              <w:rPr>
                <w:rFonts w:cs="Arial"/>
                <w:sz w:val="20"/>
              </w:rPr>
              <w:t>Construction of depreciation graphs with both models represented on one graph and analysis of which method better enables the business to minimise their tax liabilities.</w:t>
            </w:r>
          </w:p>
        </w:tc>
      </w:tr>
      <w:tr w:rsidR="0061427C" w:rsidRPr="00032C6D" w:rsidTr="009105C4">
        <w:tc>
          <w:tcPr>
            <w:tcW w:w="2694" w:type="dxa"/>
            <w:vAlign w:val="center"/>
          </w:tcPr>
          <w:p w:rsidR="0061427C" w:rsidRPr="0098371C" w:rsidRDefault="0061427C" w:rsidP="00DF054C">
            <w:pPr>
              <w:spacing w:before="20" w:after="20"/>
              <w:rPr>
                <w:sz w:val="20"/>
              </w:rPr>
            </w:pPr>
          </w:p>
        </w:tc>
        <w:tc>
          <w:tcPr>
            <w:tcW w:w="5954" w:type="dxa"/>
            <w:vAlign w:val="center"/>
          </w:tcPr>
          <w:p w:rsidR="0061427C" w:rsidRPr="0098371C" w:rsidRDefault="0087225B" w:rsidP="0038317F">
            <w:pPr>
              <w:spacing w:before="40" w:after="40"/>
              <w:rPr>
                <w:rFonts w:cs="Arial"/>
                <w:sz w:val="20"/>
              </w:rPr>
            </w:pPr>
            <w:r w:rsidRPr="0098371C">
              <w:rPr>
                <w:rFonts w:cs="Arial"/>
                <w:sz w:val="20"/>
              </w:rPr>
              <w:t>Discussion of other insurance costs including WorkCover and public liability</w:t>
            </w:r>
            <w:r w:rsidR="00912C4B" w:rsidRPr="0098371C">
              <w:rPr>
                <w:rFonts w:cs="Arial"/>
                <w:sz w:val="20"/>
              </w:rPr>
              <w:t>.</w:t>
            </w:r>
          </w:p>
        </w:tc>
        <w:tc>
          <w:tcPr>
            <w:tcW w:w="6095" w:type="dxa"/>
            <w:vAlign w:val="center"/>
          </w:tcPr>
          <w:p w:rsidR="0061427C" w:rsidRPr="0098371C" w:rsidRDefault="0061427C" w:rsidP="0038317F">
            <w:pPr>
              <w:spacing w:before="40" w:after="40"/>
              <w:rPr>
                <w:sz w:val="20"/>
              </w:rPr>
            </w:pPr>
          </w:p>
        </w:tc>
      </w:tr>
      <w:tr w:rsidR="0061427C" w:rsidRPr="00032C6D" w:rsidTr="009105C4">
        <w:tc>
          <w:tcPr>
            <w:tcW w:w="2694" w:type="dxa"/>
            <w:vAlign w:val="center"/>
          </w:tcPr>
          <w:p w:rsidR="0061427C" w:rsidRPr="0098371C" w:rsidRDefault="00130841" w:rsidP="00E04F6B">
            <w:pPr>
              <w:spacing w:before="20" w:after="20"/>
              <w:rPr>
                <w:sz w:val="20"/>
              </w:rPr>
            </w:pPr>
            <w:r>
              <w:rPr>
                <w:rFonts w:cs="Arial"/>
                <w:sz w:val="20"/>
              </w:rPr>
              <w:t>3.</w:t>
            </w:r>
            <w:r w:rsidR="00E04F6B">
              <w:rPr>
                <w:rFonts w:cs="Arial"/>
                <w:sz w:val="20"/>
              </w:rPr>
              <w:t>2</w:t>
            </w:r>
            <w:r w:rsidR="00032C6D" w:rsidRPr="0098371C">
              <w:rPr>
                <w:rFonts w:cs="Arial"/>
                <w:sz w:val="20"/>
              </w:rPr>
              <w:t xml:space="preserve"> </w:t>
            </w:r>
            <w:r w:rsidR="00FA5380" w:rsidRPr="0098371C">
              <w:rPr>
                <w:rFonts w:cs="Arial"/>
                <w:sz w:val="20"/>
              </w:rPr>
              <w:t>Break-even point</w:t>
            </w:r>
          </w:p>
        </w:tc>
        <w:tc>
          <w:tcPr>
            <w:tcW w:w="5954" w:type="dxa"/>
            <w:vAlign w:val="center"/>
          </w:tcPr>
          <w:p w:rsidR="0061427C" w:rsidRPr="0098371C" w:rsidRDefault="00FA5380" w:rsidP="0038317F">
            <w:pPr>
              <w:spacing w:before="40" w:after="40"/>
              <w:rPr>
                <w:sz w:val="20"/>
              </w:rPr>
            </w:pPr>
            <w:r w:rsidRPr="0098371C">
              <w:rPr>
                <w:rFonts w:cs="Arial"/>
                <w:sz w:val="20"/>
              </w:rPr>
              <w:t>Calculations related to finding the break-even point (graphical representation and marginal income)</w:t>
            </w:r>
            <w:r w:rsidR="00912C4B" w:rsidRPr="0098371C">
              <w:rPr>
                <w:rFonts w:cs="Arial"/>
                <w:sz w:val="20"/>
              </w:rPr>
              <w:t>.</w:t>
            </w:r>
          </w:p>
        </w:tc>
        <w:tc>
          <w:tcPr>
            <w:tcW w:w="6095" w:type="dxa"/>
            <w:vAlign w:val="center"/>
          </w:tcPr>
          <w:p w:rsidR="0061427C" w:rsidRPr="0098371C" w:rsidRDefault="0030770A" w:rsidP="0038317F">
            <w:pPr>
              <w:spacing w:before="40" w:after="40"/>
              <w:rPr>
                <w:rFonts w:cs="Arial"/>
                <w:sz w:val="20"/>
              </w:rPr>
            </w:pPr>
            <w:r w:rsidRPr="0098371C">
              <w:rPr>
                <w:rFonts w:cs="Arial"/>
                <w:sz w:val="20"/>
              </w:rPr>
              <w:t xml:space="preserve">Calculations of </w:t>
            </w:r>
            <w:r w:rsidR="00FA5380" w:rsidRPr="0098371C">
              <w:rPr>
                <w:rFonts w:cs="Arial"/>
                <w:sz w:val="20"/>
              </w:rPr>
              <w:t>the break-even point incorporating changes to the original scenario (graphical representation and marginal income)</w:t>
            </w:r>
            <w:r w:rsidR="00912C4B" w:rsidRPr="0098371C">
              <w:rPr>
                <w:rFonts w:cs="Arial"/>
                <w:sz w:val="20"/>
              </w:rPr>
              <w:t>.</w:t>
            </w:r>
          </w:p>
        </w:tc>
      </w:tr>
      <w:tr w:rsidR="0061427C" w:rsidRPr="00032C6D" w:rsidTr="009105C4">
        <w:tc>
          <w:tcPr>
            <w:tcW w:w="2694" w:type="dxa"/>
            <w:vAlign w:val="center"/>
          </w:tcPr>
          <w:p w:rsidR="0061427C" w:rsidRPr="0098371C" w:rsidRDefault="0061427C" w:rsidP="00DF054C">
            <w:pPr>
              <w:spacing w:before="20" w:after="20"/>
              <w:rPr>
                <w:rFonts w:cs="Arial"/>
                <w:sz w:val="20"/>
              </w:rPr>
            </w:pPr>
          </w:p>
        </w:tc>
        <w:tc>
          <w:tcPr>
            <w:tcW w:w="5954" w:type="dxa"/>
            <w:vAlign w:val="center"/>
          </w:tcPr>
          <w:p w:rsidR="0061427C" w:rsidRPr="0098371C" w:rsidRDefault="0061427C" w:rsidP="0038317F">
            <w:pPr>
              <w:spacing w:before="40" w:after="40"/>
              <w:rPr>
                <w:rFonts w:cs="Arial"/>
                <w:sz w:val="20"/>
              </w:rPr>
            </w:pPr>
          </w:p>
        </w:tc>
        <w:tc>
          <w:tcPr>
            <w:tcW w:w="6095" w:type="dxa"/>
            <w:vAlign w:val="center"/>
          </w:tcPr>
          <w:p w:rsidR="0061427C" w:rsidRPr="0098371C" w:rsidRDefault="00FA5380" w:rsidP="0038317F">
            <w:pPr>
              <w:spacing w:before="40" w:after="40"/>
              <w:rPr>
                <w:rFonts w:cs="Arial"/>
                <w:sz w:val="20"/>
              </w:rPr>
            </w:pPr>
            <w:r w:rsidRPr="0098371C">
              <w:rPr>
                <w:rFonts w:cs="Arial"/>
                <w:sz w:val="20"/>
              </w:rPr>
              <w:t>Construction of Profit and Loss statements – including COGS</w:t>
            </w:r>
            <w:r w:rsidR="004C05F4" w:rsidRPr="0098371C">
              <w:rPr>
                <w:rFonts w:cs="Arial"/>
                <w:sz w:val="20"/>
              </w:rPr>
              <w:t xml:space="preserve"> and analysis</w:t>
            </w:r>
            <w:r w:rsidR="00912C4B" w:rsidRPr="0098371C">
              <w:rPr>
                <w:rFonts w:cs="Arial"/>
                <w:sz w:val="20"/>
              </w:rPr>
              <w:t>.</w:t>
            </w:r>
          </w:p>
        </w:tc>
      </w:tr>
      <w:tr w:rsidR="0061427C" w:rsidRPr="00032C6D" w:rsidTr="009105C4">
        <w:tc>
          <w:tcPr>
            <w:tcW w:w="2694" w:type="dxa"/>
            <w:vAlign w:val="center"/>
          </w:tcPr>
          <w:p w:rsidR="0061427C" w:rsidRPr="0098371C" w:rsidRDefault="00032C6D" w:rsidP="00DF054C">
            <w:pPr>
              <w:spacing w:before="20" w:after="20"/>
              <w:rPr>
                <w:rFonts w:cs="Arial"/>
                <w:sz w:val="20"/>
              </w:rPr>
            </w:pPr>
            <w:r w:rsidRPr="0098371C">
              <w:rPr>
                <w:rFonts w:cs="Arial"/>
                <w:sz w:val="20"/>
              </w:rPr>
              <w:t xml:space="preserve">3.3 </w:t>
            </w:r>
            <w:r w:rsidR="004C05F4" w:rsidRPr="0098371C">
              <w:rPr>
                <w:rFonts w:cs="Arial"/>
                <w:sz w:val="20"/>
              </w:rPr>
              <w:t>Business Structures and Taxation</w:t>
            </w:r>
          </w:p>
        </w:tc>
        <w:tc>
          <w:tcPr>
            <w:tcW w:w="5954" w:type="dxa"/>
            <w:vAlign w:val="center"/>
          </w:tcPr>
          <w:p w:rsidR="0061427C" w:rsidRPr="0098371C" w:rsidRDefault="004E7995" w:rsidP="0038317F">
            <w:pPr>
              <w:spacing w:before="40" w:after="40"/>
              <w:rPr>
                <w:rFonts w:cs="Arial"/>
                <w:sz w:val="20"/>
              </w:rPr>
            </w:pPr>
            <w:r w:rsidRPr="0098371C">
              <w:rPr>
                <w:rFonts w:cs="Arial"/>
                <w:sz w:val="20"/>
              </w:rPr>
              <w:t>Knowledge of common business s</w:t>
            </w:r>
            <w:r w:rsidR="004C05F4" w:rsidRPr="0098371C">
              <w:rPr>
                <w:rFonts w:cs="Arial"/>
                <w:sz w:val="20"/>
              </w:rPr>
              <w:t>tructures – Sole Trader, Partnership and Company</w:t>
            </w:r>
            <w:r w:rsidR="00912C4B" w:rsidRPr="0098371C">
              <w:rPr>
                <w:rFonts w:cs="Arial"/>
                <w:sz w:val="20"/>
              </w:rPr>
              <w:t>.</w:t>
            </w:r>
          </w:p>
        </w:tc>
        <w:tc>
          <w:tcPr>
            <w:tcW w:w="6095" w:type="dxa"/>
            <w:vAlign w:val="center"/>
          </w:tcPr>
          <w:p w:rsidR="0061427C" w:rsidRPr="0098371C" w:rsidRDefault="0061427C" w:rsidP="0038317F">
            <w:pPr>
              <w:spacing w:before="40" w:after="40"/>
              <w:rPr>
                <w:rFonts w:cs="Arial"/>
                <w:sz w:val="20"/>
              </w:rPr>
            </w:pPr>
          </w:p>
        </w:tc>
      </w:tr>
      <w:tr w:rsidR="0061427C" w:rsidRPr="00032C6D" w:rsidTr="009105C4">
        <w:tc>
          <w:tcPr>
            <w:tcW w:w="2694" w:type="dxa"/>
            <w:vAlign w:val="center"/>
          </w:tcPr>
          <w:p w:rsidR="0061427C" w:rsidRPr="0098371C" w:rsidRDefault="0061427C" w:rsidP="00DF054C">
            <w:pPr>
              <w:spacing w:before="20" w:after="20"/>
              <w:rPr>
                <w:rFonts w:cs="Arial"/>
                <w:sz w:val="20"/>
              </w:rPr>
            </w:pPr>
          </w:p>
        </w:tc>
        <w:tc>
          <w:tcPr>
            <w:tcW w:w="5954" w:type="dxa"/>
            <w:vAlign w:val="center"/>
          </w:tcPr>
          <w:p w:rsidR="0061427C" w:rsidRPr="0098371C" w:rsidRDefault="004C05F4" w:rsidP="0038317F">
            <w:pPr>
              <w:spacing w:before="40" w:after="40"/>
              <w:rPr>
                <w:rFonts w:cs="Arial"/>
                <w:sz w:val="20"/>
              </w:rPr>
            </w:pPr>
            <w:r w:rsidRPr="0098371C">
              <w:rPr>
                <w:rFonts w:cs="Arial"/>
                <w:sz w:val="20"/>
              </w:rPr>
              <w:t>Calculations to compare the taxation liabilities of businesses under sole trader or a partnership with a specified sp</w:t>
            </w:r>
            <w:r w:rsidR="00684729" w:rsidRPr="0098371C">
              <w:rPr>
                <w:rFonts w:cs="Arial"/>
                <w:sz w:val="20"/>
              </w:rPr>
              <w:t>lit (with step-by-step scaffolding</w:t>
            </w:r>
            <w:r w:rsidRPr="0098371C">
              <w:rPr>
                <w:rFonts w:cs="Arial"/>
                <w:sz w:val="20"/>
              </w:rPr>
              <w:t xml:space="preserve"> for the partnership calculation).</w:t>
            </w:r>
          </w:p>
        </w:tc>
        <w:tc>
          <w:tcPr>
            <w:tcW w:w="6095" w:type="dxa"/>
            <w:vAlign w:val="center"/>
          </w:tcPr>
          <w:p w:rsidR="0061427C" w:rsidRPr="0098371C" w:rsidRDefault="004C05F4" w:rsidP="00684729">
            <w:pPr>
              <w:spacing w:before="40" w:after="40"/>
              <w:rPr>
                <w:rFonts w:cs="Arial"/>
                <w:sz w:val="20"/>
              </w:rPr>
            </w:pPr>
            <w:r w:rsidRPr="0098371C">
              <w:rPr>
                <w:rFonts w:cs="Arial"/>
                <w:sz w:val="20"/>
              </w:rPr>
              <w:t>Calculations to compare the taxation liabilities of a partnership</w:t>
            </w:r>
            <w:r w:rsidR="004E7995" w:rsidRPr="0098371C">
              <w:rPr>
                <w:rFonts w:cs="Arial"/>
                <w:sz w:val="20"/>
              </w:rPr>
              <w:t>, including</w:t>
            </w:r>
            <w:r w:rsidRPr="0098371C">
              <w:rPr>
                <w:rFonts w:cs="Arial"/>
                <w:sz w:val="20"/>
              </w:rPr>
              <w:t xml:space="preserve"> </w:t>
            </w:r>
            <w:r w:rsidR="004E7995" w:rsidRPr="0098371C">
              <w:rPr>
                <w:rFonts w:cs="Arial"/>
                <w:sz w:val="20"/>
              </w:rPr>
              <w:t xml:space="preserve">investigating </w:t>
            </w:r>
            <w:r w:rsidRPr="0098371C">
              <w:rPr>
                <w:rFonts w:cs="Arial"/>
                <w:sz w:val="20"/>
              </w:rPr>
              <w:t xml:space="preserve">different proportioning of ownership within a partnership (without step-by-step </w:t>
            </w:r>
            <w:r w:rsidR="00684729" w:rsidRPr="0098371C">
              <w:rPr>
                <w:rFonts w:cs="Arial"/>
                <w:sz w:val="20"/>
              </w:rPr>
              <w:t>scaffolding</w:t>
            </w:r>
            <w:r w:rsidRPr="0098371C">
              <w:rPr>
                <w:rFonts w:cs="Arial"/>
                <w:sz w:val="20"/>
              </w:rPr>
              <w:t>).</w:t>
            </w:r>
          </w:p>
        </w:tc>
      </w:tr>
    </w:tbl>
    <w:p w:rsidR="009905C9" w:rsidRDefault="009905C9"/>
    <w:tbl>
      <w:tblPr>
        <w:tblStyle w:val="TableGrid"/>
        <w:tblW w:w="14743" w:type="dxa"/>
        <w:tblInd w:w="-318" w:type="dxa"/>
        <w:tblLook w:val="04A0" w:firstRow="1" w:lastRow="0" w:firstColumn="1" w:lastColumn="0" w:noHBand="0" w:noVBand="1"/>
      </w:tblPr>
      <w:tblGrid>
        <w:gridCol w:w="2694"/>
        <w:gridCol w:w="6379"/>
        <w:gridCol w:w="5670"/>
      </w:tblGrid>
      <w:tr w:rsidR="004C05F4" w:rsidRPr="0061427C" w:rsidTr="009905C9">
        <w:tc>
          <w:tcPr>
            <w:tcW w:w="14743" w:type="dxa"/>
            <w:gridSpan w:val="3"/>
          </w:tcPr>
          <w:p w:rsidR="004C05F4" w:rsidRPr="0061427C" w:rsidRDefault="004C05F4" w:rsidP="0038317F">
            <w:pPr>
              <w:spacing w:before="120" w:after="120"/>
              <w:rPr>
                <w:b/>
                <w:sz w:val="32"/>
              </w:rPr>
            </w:pPr>
            <w:r w:rsidRPr="0061427C">
              <w:rPr>
                <w:b/>
                <w:sz w:val="32"/>
              </w:rPr>
              <w:t xml:space="preserve">Topic </w:t>
            </w:r>
            <w:r w:rsidR="002B6EFD">
              <w:rPr>
                <w:b/>
                <w:sz w:val="32"/>
              </w:rPr>
              <w:t>4</w:t>
            </w:r>
            <w:r w:rsidRPr="0061427C">
              <w:rPr>
                <w:b/>
                <w:sz w:val="32"/>
              </w:rPr>
              <w:t xml:space="preserve"> – </w:t>
            </w:r>
            <w:r w:rsidR="002B6EFD">
              <w:rPr>
                <w:b/>
                <w:sz w:val="32"/>
              </w:rPr>
              <w:t>Statistics</w:t>
            </w:r>
          </w:p>
        </w:tc>
      </w:tr>
      <w:tr w:rsidR="004C05F4" w:rsidTr="009905C9">
        <w:tc>
          <w:tcPr>
            <w:tcW w:w="2694" w:type="dxa"/>
          </w:tcPr>
          <w:p w:rsidR="004C05F4" w:rsidRPr="00AD784A" w:rsidRDefault="004C05F4" w:rsidP="0038317F">
            <w:pPr>
              <w:spacing w:before="120" w:after="120"/>
              <w:rPr>
                <w:b/>
              </w:rPr>
            </w:pPr>
            <w:r w:rsidRPr="00AD784A">
              <w:rPr>
                <w:b/>
              </w:rPr>
              <w:t>CONTENT</w:t>
            </w:r>
          </w:p>
        </w:tc>
        <w:tc>
          <w:tcPr>
            <w:tcW w:w="6379" w:type="dxa"/>
          </w:tcPr>
          <w:p w:rsidR="004C05F4" w:rsidRPr="00AD784A" w:rsidRDefault="004C05F4" w:rsidP="0038317F">
            <w:pPr>
              <w:spacing w:before="120" w:after="120"/>
              <w:rPr>
                <w:b/>
              </w:rPr>
            </w:pPr>
            <w:r w:rsidRPr="00AD784A">
              <w:rPr>
                <w:b/>
              </w:rPr>
              <w:t>ROUTINE</w:t>
            </w:r>
          </w:p>
        </w:tc>
        <w:tc>
          <w:tcPr>
            <w:tcW w:w="5670" w:type="dxa"/>
          </w:tcPr>
          <w:p w:rsidR="004C05F4" w:rsidRPr="00AD784A" w:rsidRDefault="004C05F4" w:rsidP="0038317F">
            <w:pPr>
              <w:spacing w:before="120" w:after="120"/>
              <w:rPr>
                <w:b/>
              </w:rPr>
            </w:pPr>
            <w:r w:rsidRPr="00AD784A">
              <w:rPr>
                <w:b/>
              </w:rPr>
              <w:t>COMPLEX</w:t>
            </w:r>
          </w:p>
        </w:tc>
      </w:tr>
      <w:tr w:rsidR="004C05F4" w:rsidRPr="00446662" w:rsidTr="009905C9">
        <w:tc>
          <w:tcPr>
            <w:tcW w:w="2694" w:type="dxa"/>
            <w:vAlign w:val="center"/>
          </w:tcPr>
          <w:p w:rsidR="004C05F4" w:rsidRPr="0098371C" w:rsidRDefault="00446662" w:rsidP="0038317F">
            <w:pPr>
              <w:spacing w:before="20" w:after="20"/>
              <w:rPr>
                <w:rFonts w:cs="Arial"/>
                <w:sz w:val="20"/>
              </w:rPr>
            </w:pPr>
            <w:r w:rsidRPr="0098371C">
              <w:rPr>
                <w:rFonts w:cs="Arial"/>
                <w:sz w:val="20"/>
              </w:rPr>
              <w:t xml:space="preserve">4.1 </w:t>
            </w:r>
            <w:r w:rsidR="002B6EFD" w:rsidRPr="0098371C">
              <w:rPr>
                <w:rFonts w:cs="Arial"/>
                <w:sz w:val="20"/>
              </w:rPr>
              <w:t>Sampling from Populations</w:t>
            </w:r>
          </w:p>
        </w:tc>
        <w:tc>
          <w:tcPr>
            <w:tcW w:w="6379" w:type="dxa"/>
            <w:vAlign w:val="center"/>
          </w:tcPr>
          <w:p w:rsidR="004C05F4" w:rsidRPr="0098371C" w:rsidRDefault="002B6EFD" w:rsidP="0038317F">
            <w:pPr>
              <w:spacing w:before="40" w:after="40"/>
              <w:rPr>
                <w:rFonts w:cs="Arial"/>
                <w:sz w:val="20"/>
              </w:rPr>
            </w:pPr>
            <w:r w:rsidRPr="0098371C">
              <w:rPr>
                <w:rFonts w:cs="Arial"/>
                <w:sz w:val="20"/>
              </w:rPr>
              <w:t>Methods of sampling (simple random, stratified (including calculations), systematic, self-selected)</w:t>
            </w:r>
          </w:p>
        </w:tc>
        <w:tc>
          <w:tcPr>
            <w:tcW w:w="5670" w:type="dxa"/>
            <w:vAlign w:val="center"/>
          </w:tcPr>
          <w:p w:rsidR="004C05F4" w:rsidRPr="0098371C" w:rsidRDefault="002B6EFD" w:rsidP="0038317F">
            <w:pPr>
              <w:spacing w:before="40" w:after="40"/>
              <w:rPr>
                <w:rFonts w:cs="Arial"/>
                <w:sz w:val="20"/>
              </w:rPr>
            </w:pPr>
            <w:r w:rsidRPr="0098371C">
              <w:rPr>
                <w:rFonts w:cs="Arial"/>
                <w:sz w:val="20"/>
              </w:rPr>
              <w:t>Discussion of the validity of different sampling methods for a described population.</w:t>
            </w:r>
          </w:p>
        </w:tc>
      </w:tr>
      <w:tr w:rsidR="004C05F4" w:rsidRPr="00446662" w:rsidTr="009905C9">
        <w:tc>
          <w:tcPr>
            <w:tcW w:w="2694" w:type="dxa"/>
            <w:vAlign w:val="center"/>
          </w:tcPr>
          <w:p w:rsidR="004C05F4" w:rsidRPr="0098371C" w:rsidRDefault="004C05F4" w:rsidP="0038317F">
            <w:pPr>
              <w:spacing w:before="20" w:after="20"/>
              <w:rPr>
                <w:sz w:val="20"/>
              </w:rPr>
            </w:pPr>
          </w:p>
        </w:tc>
        <w:tc>
          <w:tcPr>
            <w:tcW w:w="6379" w:type="dxa"/>
            <w:vAlign w:val="center"/>
          </w:tcPr>
          <w:p w:rsidR="004C05F4" w:rsidRPr="0098371C" w:rsidRDefault="00E04F6B" w:rsidP="0038317F">
            <w:pPr>
              <w:spacing w:before="40" w:after="40"/>
              <w:rPr>
                <w:sz w:val="20"/>
              </w:rPr>
            </w:pPr>
            <w:r>
              <w:rPr>
                <w:sz w:val="20"/>
              </w:rPr>
              <w:t>Discussion of b</w:t>
            </w:r>
            <w:r w:rsidR="002B6EFD" w:rsidRPr="0098371C">
              <w:rPr>
                <w:sz w:val="20"/>
              </w:rPr>
              <w:t>ias in sampling</w:t>
            </w:r>
            <w:r w:rsidR="00446662" w:rsidRPr="0098371C">
              <w:rPr>
                <w:sz w:val="20"/>
              </w:rPr>
              <w:t>.</w:t>
            </w:r>
          </w:p>
        </w:tc>
        <w:tc>
          <w:tcPr>
            <w:tcW w:w="5670" w:type="dxa"/>
            <w:vAlign w:val="center"/>
          </w:tcPr>
          <w:p w:rsidR="004C05F4" w:rsidRPr="0098371C" w:rsidRDefault="004C05F4" w:rsidP="0038317F">
            <w:pPr>
              <w:spacing w:before="40" w:after="40"/>
              <w:rPr>
                <w:sz w:val="20"/>
              </w:rPr>
            </w:pPr>
          </w:p>
        </w:tc>
      </w:tr>
      <w:tr w:rsidR="004C05F4" w:rsidRPr="00446662" w:rsidTr="009905C9">
        <w:tc>
          <w:tcPr>
            <w:tcW w:w="2694" w:type="dxa"/>
            <w:vAlign w:val="center"/>
          </w:tcPr>
          <w:p w:rsidR="004C05F4" w:rsidRPr="0098371C" w:rsidRDefault="004C05F4" w:rsidP="0038317F">
            <w:pPr>
              <w:spacing w:before="20" w:after="20"/>
              <w:rPr>
                <w:sz w:val="20"/>
              </w:rPr>
            </w:pPr>
          </w:p>
        </w:tc>
        <w:tc>
          <w:tcPr>
            <w:tcW w:w="6379" w:type="dxa"/>
            <w:vAlign w:val="center"/>
          </w:tcPr>
          <w:p w:rsidR="004C05F4" w:rsidRPr="0098371C" w:rsidRDefault="002B6EFD" w:rsidP="0038317F">
            <w:pPr>
              <w:spacing w:before="40" w:after="40"/>
              <w:rPr>
                <w:sz w:val="20"/>
              </w:rPr>
            </w:pPr>
            <w:r w:rsidRPr="0098371C">
              <w:rPr>
                <w:rFonts w:cs="Arial"/>
                <w:sz w:val="20"/>
              </w:rPr>
              <w:t>Sample size and the reliability of findings</w:t>
            </w:r>
            <w:r w:rsidR="00DD18EB" w:rsidRPr="0098371C">
              <w:rPr>
                <w:rFonts w:cs="Arial"/>
                <w:sz w:val="20"/>
              </w:rPr>
              <w:t>.</w:t>
            </w:r>
          </w:p>
        </w:tc>
        <w:tc>
          <w:tcPr>
            <w:tcW w:w="5670" w:type="dxa"/>
            <w:vAlign w:val="center"/>
          </w:tcPr>
          <w:p w:rsidR="004C05F4" w:rsidRPr="0098371C" w:rsidRDefault="002B6EFD" w:rsidP="0038317F">
            <w:pPr>
              <w:spacing w:before="40" w:after="40"/>
              <w:rPr>
                <w:sz w:val="20"/>
              </w:rPr>
            </w:pPr>
            <w:r w:rsidRPr="0098371C">
              <w:rPr>
                <w:rFonts w:cs="Arial"/>
                <w:sz w:val="20"/>
              </w:rPr>
              <w:t xml:space="preserve">Understand the implications of the </w:t>
            </w:r>
            <w:r w:rsidRPr="0098371C">
              <w:rPr>
                <w:rFonts w:cs="Arial"/>
                <w:i/>
                <w:sz w:val="20"/>
              </w:rPr>
              <w:t>sample size</w:t>
            </w:r>
            <w:r w:rsidRPr="0098371C">
              <w:rPr>
                <w:rFonts w:cs="Arial"/>
                <w:sz w:val="20"/>
              </w:rPr>
              <w:t xml:space="preserve"> on the sample mean compared to the population mean.</w:t>
            </w:r>
          </w:p>
        </w:tc>
      </w:tr>
      <w:tr w:rsidR="004C05F4" w:rsidTr="009905C9">
        <w:tc>
          <w:tcPr>
            <w:tcW w:w="2694" w:type="dxa"/>
            <w:vAlign w:val="center"/>
          </w:tcPr>
          <w:p w:rsidR="004C05F4" w:rsidRPr="0098371C" w:rsidRDefault="00446662" w:rsidP="0038317F">
            <w:pPr>
              <w:spacing w:before="20" w:after="20"/>
              <w:rPr>
                <w:sz w:val="20"/>
              </w:rPr>
            </w:pPr>
            <w:r w:rsidRPr="0098371C">
              <w:rPr>
                <w:sz w:val="20"/>
              </w:rPr>
              <w:t xml:space="preserve">4.2 </w:t>
            </w:r>
            <w:r w:rsidR="002B6EFD" w:rsidRPr="0098371C">
              <w:rPr>
                <w:sz w:val="20"/>
              </w:rPr>
              <w:t>Analysis and Representation of Sets of Data</w:t>
            </w:r>
          </w:p>
        </w:tc>
        <w:tc>
          <w:tcPr>
            <w:tcW w:w="6379" w:type="dxa"/>
            <w:vAlign w:val="center"/>
          </w:tcPr>
          <w:p w:rsidR="004C05F4" w:rsidRPr="0098371C" w:rsidRDefault="002B6EFD" w:rsidP="0038317F">
            <w:pPr>
              <w:spacing w:before="40" w:after="40"/>
              <w:rPr>
                <w:rFonts w:cs="Arial"/>
                <w:sz w:val="20"/>
              </w:rPr>
            </w:pPr>
            <w:r w:rsidRPr="0098371C">
              <w:rPr>
                <w:rFonts w:cs="Arial"/>
                <w:bCs/>
                <w:sz w:val="20"/>
              </w:rPr>
              <w:t>Calculation of measures of central tendency (mean and median)</w:t>
            </w:r>
            <w:r w:rsidR="00DD18EB" w:rsidRPr="0098371C">
              <w:rPr>
                <w:rFonts w:cs="Arial"/>
                <w:bCs/>
                <w:sz w:val="20"/>
              </w:rPr>
              <w:t>.</w:t>
            </w:r>
          </w:p>
        </w:tc>
        <w:tc>
          <w:tcPr>
            <w:tcW w:w="5670" w:type="dxa"/>
            <w:vAlign w:val="center"/>
          </w:tcPr>
          <w:p w:rsidR="004C05F4" w:rsidRPr="0098371C" w:rsidRDefault="00E04F6B" w:rsidP="0038317F">
            <w:pPr>
              <w:spacing w:before="40" w:after="40"/>
              <w:rPr>
                <w:rFonts w:cs="Arial"/>
                <w:sz w:val="20"/>
              </w:rPr>
            </w:pPr>
            <w:r>
              <w:rPr>
                <w:rFonts w:cs="Arial"/>
                <w:sz w:val="20"/>
              </w:rPr>
              <w:t>Using</w:t>
            </w:r>
            <w:r w:rsidR="002B6EFD" w:rsidRPr="0098371C">
              <w:rPr>
                <w:rFonts w:cs="Arial"/>
                <w:sz w:val="20"/>
              </w:rPr>
              <w:t xml:space="preserve"> measures of central tendency (mean and median) to determine the nature of, and to compare, two or more distributions.</w:t>
            </w:r>
          </w:p>
        </w:tc>
      </w:tr>
      <w:tr w:rsidR="004C05F4" w:rsidTr="009905C9">
        <w:tc>
          <w:tcPr>
            <w:tcW w:w="2694" w:type="dxa"/>
            <w:vAlign w:val="center"/>
          </w:tcPr>
          <w:p w:rsidR="004C05F4" w:rsidRPr="0098371C" w:rsidRDefault="004C05F4" w:rsidP="0038317F">
            <w:pPr>
              <w:spacing w:before="20" w:after="20"/>
              <w:rPr>
                <w:sz w:val="20"/>
              </w:rPr>
            </w:pPr>
          </w:p>
        </w:tc>
        <w:tc>
          <w:tcPr>
            <w:tcW w:w="6379" w:type="dxa"/>
            <w:vAlign w:val="center"/>
          </w:tcPr>
          <w:p w:rsidR="004C05F4" w:rsidRPr="0098371C" w:rsidRDefault="002B6EFD" w:rsidP="0038317F">
            <w:pPr>
              <w:spacing w:before="40" w:after="40"/>
              <w:rPr>
                <w:rFonts w:cs="Arial"/>
                <w:sz w:val="20"/>
              </w:rPr>
            </w:pPr>
            <w:r w:rsidRPr="0098371C">
              <w:rPr>
                <w:rFonts w:cs="Arial"/>
                <w:bCs/>
                <w:sz w:val="20"/>
              </w:rPr>
              <w:t>Calculation of measures of spread (including range, interquar</w:t>
            </w:r>
            <w:r w:rsidR="00DD18EB" w:rsidRPr="0098371C">
              <w:rPr>
                <w:rFonts w:cs="Arial"/>
                <w:bCs/>
                <w:sz w:val="20"/>
              </w:rPr>
              <w:t>tile range, standard deviation).</w:t>
            </w:r>
          </w:p>
        </w:tc>
        <w:tc>
          <w:tcPr>
            <w:tcW w:w="5670" w:type="dxa"/>
            <w:vAlign w:val="center"/>
          </w:tcPr>
          <w:p w:rsidR="004C05F4" w:rsidRPr="0098371C" w:rsidRDefault="00E04F6B" w:rsidP="0038317F">
            <w:pPr>
              <w:spacing w:before="40" w:after="40"/>
              <w:rPr>
                <w:rFonts w:cs="Arial"/>
                <w:sz w:val="20"/>
              </w:rPr>
            </w:pPr>
            <w:r>
              <w:rPr>
                <w:rFonts w:cs="Arial"/>
                <w:bCs/>
                <w:sz w:val="20"/>
              </w:rPr>
              <w:t>Using</w:t>
            </w:r>
            <w:r w:rsidR="002B6EFD" w:rsidRPr="0098371C">
              <w:rPr>
                <w:rFonts w:cs="Arial"/>
                <w:bCs/>
                <w:sz w:val="20"/>
              </w:rPr>
              <w:t xml:space="preserve"> measures of spread (including range, interquartile range, standard deviation) </w:t>
            </w:r>
            <w:r w:rsidR="002B6EFD" w:rsidRPr="0098371C">
              <w:rPr>
                <w:rFonts w:cs="Arial"/>
                <w:bCs/>
                <w:iCs/>
                <w:sz w:val="20"/>
              </w:rPr>
              <w:t>to determine the nature of, and to compare, two or more distributions</w:t>
            </w:r>
            <w:r w:rsidR="002B6EFD" w:rsidRPr="0098371C">
              <w:rPr>
                <w:rFonts w:cs="Arial"/>
                <w:bCs/>
                <w:sz w:val="20"/>
              </w:rPr>
              <w:t>.</w:t>
            </w:r>
          </w:p>
        </w:tc>
      </w:tr>
      <w:tr w:rsidR="00446662" w:rsidTr="009905C9">
        <w:tc>
          <w:tcPr>
            <w:tcW w:w="2694" w:type="dxa"/>
            <w:vAlign w:val="center"/>
          </w:tcPr>
          <w:p w:rsidR="00446662" w:rsidRPr="0098371C" w:rsidRDefault="00446662" w:rsidP="0038317F">
            <w:pPr>
              <w:spacing w:before="20" w:after="20"/>
              <w:rPr>
                <w:rFonts w:cs="Arial"/>
                <w:sz w:val="20"/>
              </w:rPr>
            </w:pPr>
          </w:p>
        </w:tc>
        <w:tc>
          <w:tcPr>
            <w:tcW w:w="6379" w:type="dxa"/>
            <w:vAlign w:val="center"/>
          </w:tcPr>
          <w:p w:rsidR="00446662" w:rsidRPr="0098371C" w:rsidRDefault="00677417" w:rsidP="0038317F">
            <w:pPr>
              <w:spacing w:before="40" w:after="40"/>
              <w:rPr>
                <w:rFonts w:cs="Arial"/>
                <w:bCs/>
                <w:sz w:val="20"/>
              </w:rPr>
            </w:pPr>
            <w:r w:rsidRPr="0098371C">
              <w:rPr>
                <w:rFonts w:cs="Arial"/>
                <w:bCs/>
                <w:sz w:val="20"/>
              </w:rPr>
              <w:t>Effect of outliers on measures of central tendency and spread.</w:t>
            </w:r>
          </w:p>
        </w:tc>
        <w:tc>
          <w:tcPr>
            <w:tcW w:w="5670" w:type="dxa"/>
            <w:vAlign w:val="center"/>
          </w:tcPr>
          <w:p w:rsidR="00446662" w:rsidRPr="0098371C" w:rsidRDefault="00446662" w:rsidP="0038317F">
            <w:pPr>
              <w:spacing w:before="40" w:after="40"/>
              <w:rPr>
                <w:rFonts w:cs="Arial"/>
                <w:bCs/>
                <w:sz w:val="20"/>
              </w:rPr>
            </w:pPr>
          </w:p>
        </w:tc>
      </w:tr>
      <w:tr w:rsidR="004C05F4" w:rsidTr="009905C9">
        <w:tc>
          <w:tcPr>
            <w:tcW w:w="2694" w:type="dxa"/>
            <w:vAlign w:val="center"/>
          </w:tcPr>
          <w:p w:rsidR="004C05F4" w:rsidRPr="0098371C" w:rsidRDefault="004C05F4" w:rsidP="0038317F">
            <w:pPr>
              <w:spacing w:before="20" w:after="20"/>
              <w:rPr>
                <w:rFonts w:cs="Arial"/>
                <w:sz w:val="20"/>
              </w:rPr>
            </w:pPr>
          </w:p>
        </w:tc>
        <w:tc>
          <w:tcPr>
            <w:tcW w:w="6379" w:type="dxa"/>
            <w:vAlign w:val="center"/>
          </w:tcPr>
          <w:p w:rsidR="004C05F4" w:rsidRPr="0098371C" w:rsidRDefault="00E04F6B" w:rsidP="00E04F6B">
            <w:pPr>
              <w:spacing w:before="40" w:after="40"/>
              <w:rPr>
                <w:rFonts w:cs="Arial"/>
                <w:sz w:val="20"/>
              </w:rPr>
            </w:pPr>
            <w:r>
              <w:rPr>
                <w:rFonts w:cs="Arial"/>
                <w:bCs/>
                <w:sz w:val="20"/>
              </w:rPr>
              <w:t>Drawing b</w:t>
            </w:r>
            <w:r w:rsidR="00E43B75" w:rsidRPr="0098371C">
              <w:rPr>
                <w:rFonts w:cs="Arial"/>
                <w:bCs/>
                <w:sz w:val="20"/>
              </w:rPr>
              <w:t>ox-and-whisker diagrams on one scale</w:t>
            </w:r>
            <w:r w:rsidR="00DD18EB" w:rsidRPr="0098371C">
              <w:rPr>
                <w:rFonts w:cs="Arial"/>
                <w:bCs/>
                <w:sz w:val="20"/>
              </w:rPr>
              <w:t>.</w:t>
            </w:r>
            <w:r w:rsidR="00E43B75" w:rsidRPr="0098371C">
              <w:rPr>
                <w:rFonts w:cs="Arial"/>
                <w:bCs/>
                <w:sz w:val="20"/>
              </w:rPr>
              <w:t xml:space="preserve"> </w:t>
            </w:r>
          </w:p>
        </w:tc>
        <w:tc>
          <w:tcPr>
            <w:tcW w:w="5670" w:type="dxa"/>
            <w:vAlign w:val="center"/>
          </w:tcPr>
          <w:p w:rsidR="004C05F4" w:rsidRPr="0098371C" w:rsidRDefault="00E04F6B" w:rsidP="0038317F">
            <w:pPr>
              <w:spacing w:before="40" w:after="40"/>
              <w:rPr>
                <w:rFonts w:cs="Arial"/>
                <w:sz w:val="20"/>
              </w:rPr>
            </w:pPr>
            <w:r>
              <w:rPr>
                <w:rFonts w:cs="Arial"/>
                <w:bCs/>
                <w:sz w:val="20"/>
              </w:rPr>
              <w:t>Using b</w:t>
            </w:r>
            <w:r w:rsidR="00E43B75" w:rsidRPr="0098371C">
              <w:rPr>
                <w:rFonts w:cs="Arial"/>
                <w:bCs/>
                <w:sz w:val="20"/>
              </w:rPr>
              <w:t>ox-and-whisker diagrams on one scale for comparing two or more sets of data.</w:t>
            </w:r>
          </w:p>
        </w:tc>
      </w:tr>
      <w:tr w:rsidR="004C05F4" w:rsidTr="009905C9">
        <w:tc>
          <w:tcPr>
            <w:tcW w:w="2694" w:type="dxa"/>
            <w:vAlign w:val="center"/>
          </w:tcPr>
          <w:p w:rsidR="004C05F4" w:rsidRPr="0098371C" w:rsidRDefault="004C05F4" w:rsidP="0038317F">
            <w:pPr>
              <w:spacing w:before="20" w:after="20"/>
              <w:rPr>
                <w:rFonts w:cs="Arial"/>
                <w:sz w:val="20"/>
              </w:rPr>
            </w:pPr>
          </w:p>
        </w:tc>
        <w:tc>
          <w:tcPr>
            <w:tcW w:w="6379" w:type="dxa"/>
            <w:vAlign w:val="center"/>
          </w:tcPr>
          <w:p w:rsidR="004C05F4" w:rsidRPr="0098371C" w:rsidRDefault="00E04F6B" w:rsidP="0097363F">
            <w:pPr>
              <w:spacing w:before="40" w:after="40"/>
              <w:rPr>
                <w:rFonts w:cs="Arial"/>
                <w:sz w:val="20"/>
              </w:rPr>
            </w:pPr>
            <w:r>
              <w:rPr>
                <w:rFonts w:cs="Arial"/>
                <w:bCs/>
                <w:sz w:val="20"/>
              </w:rPr>
              <w:t>Construction of s</w:t>
            </w:r>
            <w:r w:rsidR="00E43B75" w:rsidRPr="0098371C">
              <w:rPr>
                <w:rFonts w:cs="Arial"/>
                <w:bCs/>
                <w:sz w:val="20"/>
              </w:rPr>
              <w:t>tem-and-leaf plots or other appropriate graphs for comparing two sets of data.</w:t>
            </w:r>
          </w:p>
        </w:tc>
        <w:tc>
          <w:tcPr>
            <w:tcW w:w="5670" w:type="dxa"/>
            <w:vAlign w:val="center"/>
          </w:tcPr>
          <w:p w:rsidR="004C05F4" w:rsidRPr="0098371C" w:rsidRDefault="008D06D7" w:rsidP="0038317F">
            <w:pPr>
              <w:spacing w:before="40" w:after="40"/>
              <w:rPr>
                <w:rFonts w:cs="Arial"/>
                <w:sz w:val="20"/>
              </w:rPr>
            </w:pPr>
            <w:r w:rsidRPr="0098371C">
              <w:rPr>
                <w:rFonts w:cs="Arial"/>
                <w:sz w:val="20"/>
              </w:rPr>
              <w:t>Comparison/analysis of two data sets displayed on stem-and-leaf plots or other appropriate graphs</w:t>
            </w:r>
            <w:r w:rsidR="00DD18EB" w:rsidRPr="0098371C">
              <w:rPr>
                <w:rFonts w:cs="Arial"/>
                <w:sz w:val="20"/>
              </w:rPr>
              <w:t>.</w:t>
            </w:r>
          </w:p>
        </w:tc>
      </w:tr>
      <w:tr w:rsidR="004C05F4" w:rsidRPr="00677417" w:rsidTr="009905C9">
        <w:tc>
          <w:tcPr>
            <w:tcW w:w="2694" w:type="dxa"/>
            <w:vAlign w:val="center"/>
          </w:tcPr>
          <w:p w:rsidR="004C05F4" w:rsidRPr="0098371C" w:rsidRDefault="00446662" w:rsidP="0038317F">
            <w:pPr>
              <w:spacing w:before="20" w:after="20"/>
              <w:rPr>
                <w:rFonts w:cs="Arial"/>
                <w:sz w:val="20"/>
              </w:rPr>
            </w:pPr>
            <w:r w:rsidRPr="0098371C">
              <w:rPr>
                <w:rFonts w:cs="Arial"/>
                <w:sz w:val="20"/>
              </w:rPr>
              <w:t xml:space="preserve">4.3 </w:t>
            </w:r>
            <w:r w:rsidR="008D06D7" w:rsidRPr="0098371C">
              <w:rPr>
                <w:rFonts w:cs="Arial"/>
                <w:sz w:val="20"/>
              </w:rPr>
              <w:t>Linear Correlation</w:t>
            </w:r>
          </w:p>
        </w:tc>
        <w:tc>
          <w:tcPr>
            <w:tcW w:w="6379" w:type="dxa"/>
            <w:vAlign w:val="center"/>
          </w:tcPr>
          <w:p w:rsidR="004C05F4" w:rsidRPr="0098371C" w:rsidRDefault="008D06D7" w:rsidP="0038317F">
            <w:pPr>
              <w:spacing w:before="40" w:after="40"/>
              <w:rPr>
                <w:rFonts w:cs="Arial"/>
                <w:sz w:val="20"/>
              </w:rPr>
            </w:pPr>
            <w:r w:rsidRPr="0098371C">
              <w:rPr>
                <w:rFonts w:cs="Arial"/>
                <w:noProof/>
                <w:sz w:val="20"/>
              </w:rPr>
              <w:t>Sketching</w:t>
            </w:r>
            <w:r w:rsidRPr="0098371C">
              <w:rPr>
                <w:rFonts w:cs="Arial"/>
                <w:bCs/>
                <w:sz w:val="20"/>
              </w:rPr>
              <w:t xml:space="preserve"> and interpreting scatter plots.</w:t>
            </w:r>
          </w:p>
        </w:tc>
        <w:tc>
          <w:tcPr>
            <w:tcW w:w="5670" w:type="dxa"/>
            <w:vAlign w:val="center"/>
          </w:tcPr>
          <w:p w:rsidR="004C05F4" w:rsidRPr="0098371C" w:rsidRDefault="004C05F4" w:rsidP="0038317F">
            <w:pPr>
              <w:spacing w:before="40" w:after="40"/>
              <w:rPr>
                <w:rFonts w:cs="Arial"/>
                <w:sz w:val="20"/>
              </w:rPr>
            </w:pPr>
          </w:p>
        </w:tc>
      </w:tr>
      <w:tr w:rsidR="008D06D7" w:rsidTr="009905C9">
        <w:tc>
          <w:tcPr>
            <w:tcW w:w="2694" w:type="dxa"/>
            <w:vAlign w:val="center"/>
          </w:tcPr>
          <w:p w:rsidR="008D06D7" w:rsidRPr="0098371C" w:rsidRDefault="008D06D7" w:rsidP="0038317F">
            <w:pPr>
              <w:spacing w:before="20" w:after="20"/>
              <w:rPr>
                <w:rFonts w:cs="Arial"/>
                <w:bCs/>
                <w:sz w:val="20"/>
              </w:rPr>
            </w:pPr>
          </w:p>
        </w:tc>
        <w:tc>
          <w:tcPr>
            <w:tcW w:w="6379" w:type="dxa"/>
            <w:vAlign w:val="center"/>
          </w:tcPr>
          <w:p w:rsidR="008D06D7" w:rsidRPr="0098371C" w:rsidRDefault="00E04F6B" w:rsidP="0038317F">
            <w:pPr>
              <w:spacing w:before="40" w:after="40"/>
              <w:rPr>
                <w:rFonts w:cs="Arial"/>
                <w:sz w:val="20"/>
              </w:rPr>
            </w:pPr>
            <w:r>
              <w:rPr>
                <w:rFonts w:cs="Arial"/>
                <w:bCs/>
                <w:sz w:val="20"/>
              </w:rPr>
              <w:t>Calculation of P</w:t>
            </w:r>
            <w:r w:rsidR="008D06D7" w:rsidRPr="0098371C">
              <w:rPr>
                <w:rFonts w:cs="Arial"/>
                <w:bCs/>
                <w:sz w:val="20"/>
              </w:rPr>
              <w:t>earson’s correlation coefficient and coefficient of determination to determine the degree of linear relationship using ET</w:t>
            </w:r>
            <w:r w:rsidR="00DD18EB" w:rsidRPr="0098371C">
              <w:rPr>
                <w:rFonts w:cs="Arial"/>
                <w:bCs/>
                <w:sz w:val="20"/>
              </w:rPr>
              <w:t>.</w:t>
            </w:r>
          </w:p>
        </w:tc>
        <w:tc>
          <w:tcPr>
            <w:tcW w:w="5670" w:type="dxa"/>
            <w:vAlign w:val="center"/>
          </w:tcPr>
          <w:p w:rsidR="008D06D7" w:rsidRPr="0098371C" w:rsidRDefault="008D06D7" w:rsidP="0038317F">
            <w:pPr>
              <w:spacing w:before="40" w:after="40"/>
              <w:rPr>
                <w:rFonts w:cs="Arial"/>
                <w:sz w:val="20"/>
              </w:rPr>
            </w:pPr>
            <w:r w:rsidRPr="0098371C">
              <w:rPr>
                <w:rFonts w:cs="Arial"/>
                <w:bCs/>
                <w:sz w:val="20"/>
              </w:rPr>
              <w:t xml:space="preserve">Effect of outliers on results, </w:t>
            </w:r>
            <w:r w:rsidR="00E04F6B">
              <w:rPr>
                <w:rFonts w:cs="Arial"/>
                <w:bCs/>
                <w:sz w:val="20"/>
              </w:rPr>
              <w:t xml:space="preserve">appropriate </w:t>
            </w:r>
            <w:r w:rsidRPr="0098371C">
              <w:rPr>
                <w:rFonts w:cs="Arial"/>
                <w:bCs/>
                <w:sz w:val="20"/>
              </w:rPr>
              <w:t xml:space="preserve">removal </w:t>
            </w:r>
            <w:r w:rsidR="00E04F6B">
              <w:rPr>
                <w:rFonts w:cs="Arial"/>
                <w:bCs/>
                <w:sz w:val="20"/>
              </w:rPr>
              <w:t xml:space="preserve">of outliers, </w:t>
            </w:r>
            <w:r w:rsidRPr="0098371C">
              <w:rPr>
                <w:rFonts w:cs="Arial"/>
                <w:bCs/>
                <w:sz w:val="20"/>
              </w:rPr>
              <w:t>and recalculation of Pearson’s correlation coefficient and coefficient of determination</w:t>
            </w:r>
            <w:r w:rsidR="00DD18EB" w:rsidRPr="0098371C">
              <w:rPr>
                <w:rFonts w:cs="Arial"/>
                <w:bCs/>
                <w:sz w:val="20"/>
              </w:rPr>
              <w:t>.</w:t>
            </w:r>
          </w:p>
        </w:tc>
      </w:tr>
      <w:tr w:rsidR="008D06D7" w:rsidTr="009905C9">
        <w:tc>
          <w:tcPr>
            <w:tcW w:w="2694" w:type="dxa"/>
            <w:vAlign w:val="center"/>
          </w:tcPr>
          <w:p w:rsidR="008D06D7" w:rsidRPr="0098371C" w:rsidRDefault="008D06D7" w:rsidP="0038317F">
            <w:pPr>
              <w:spacing w:before="20" w:after="20"/>
              <w:rPr>
                <w:rFonts w:cs="Arial"/>
                <w:bCs/>
                <w:sz w:val="20"/>
              </w:rPr>
            </w:pPr>
          </w:p>
        </w:tc>
        <w:tc>
          <w:tcPr>
            <w:tcW w:w="6379" w:type="dxa"/>
            <w:vAlign w:val="center"/>
          </w:tcPr>
          <w:p w:rsidR="008D06D7" w:rsidRPr="0098371C" w:rsidRDefault="008D06D7" w:rsidP="0038317F">
            <w:pPr>
              <w:spacing w:before="40" w:after="40"/>
              <w:rPr>
                <w:rFonts w:cs="Arial"/>
                <w:sz w:val="20"/>
              </w:rPr>
            </w:pPr>
            <w:r w:rsidRPr="0098371C">
              <w:rPr>
                <w:rFonts w:cs="Arial"/>
                <w:bCs/>
                <w:sz w:val="20"/>
              </w:rPr>
              <w:t>Determining where appropriate to sketch and use the least squares regression line (‘line of best fit’) to predict values within and outside the range of data where straight substitution into the regression formula is required.</w:t>
            </w:r>
          </w:p>
        </w:tc>
        <w:tc>
          <w:tcPr>
            <w:tcW w:w="5670" w:type="dxa"/>
            <w:vAlign w:val="center"/>
          </w:tcPr>
          <w:p w:rsidR="008D06D7" w:rsidRPr="0098371C" w:rsidRDefault="008D06D7" w:rsidP="0038317F">
            <w:pPr>
              <w:spacing w:before="40" w:after="40"/>
              <w:rPr>
                <w:rFonts w:cs="Arial"/>
                <w:sz w:val="20"/>
              </w:rPr>
            </w:pPr>
            <w:r w:rsidRPr="0098371C">
              <w:rPr>
                <w:rFonts w:cs="Arial"/>
                <w:bCs/>
                <w:sz w:val="20"/>
              </w:rPr>
              <w:t>Using the least squares regression line (‘line of best fit’) to predict values within and outside the range of data where rearrangement of the regression formula is required.</w:t>
            </w:r>
          </w:p>
        </w:tc>
      </w:tr>
    </w:tbl>
    <w:p w:rsidR="00F761C2" w:rsidRDefault="00F761C2">
      <w:pPr>
        <w:sectPr w:rsidR="00F761C2" w:rsidSect="0061427C">
          <w:footerReference w:type="default" r:id="rId8"/>
          <w:pgSz w:w="16838" w:h="11906" w:orient="landscape"/>
          <w:pgMar w:top="568" w:right="1300" w:bottom="1135" w:left="1440" w:header="708" w:footer="330" w:gutter="0"/>
          <w:cols w:space="708"/>
          <w:docGrid w:linePitch="360"/>
        </w:sectPr>
      </w:pPr>
    </w:p>
    <w:p w:rsidR="004C05F4" w:rsidRDefault="004C05F4"/>
    <w:tbl>
      <w:tblPr>
        <w:tblStyle w:val="TableGrid"/>
        <w:tblW w:w="14743" w:type="dxa"/>
        <w:tblInd w:w="-318" w:type="dxa"/>
        <w:tblLook w:val="04A0" w:firstRow="1" w:lastRow="0" w:firstColumn="1" w:lastColumn="0" w:noHBand="0" w:noVBand="1"/>
      </w:tblPr>
      <w:tblGrid>
        <w:gridCol w:w="2694"/>
        <w:gridCol w:w="5812"/>
        <w:gridCol w:w="6237"/>
      </w:tblGrid>
      <w:tr w:rsidR="008D06D7" w:rsidRPr="0061427C" w:rsidTr="009905C9">
        <w:tc>
          <w:tcPr>
            <w:tcW w:w="14743" w:type="dxa"/>
            <w:gridSpan w:val="3"/>
          </w:tcPr>
          <w:p w:rsidR="008D06D7" w:rsidRPr="0061427C" w:rsidRDefault="008D06D7" w:rsidP="0038317F">
            <w:pPr>
              <w:spacing w:before="120" w:after="120"/>
              <w:rPr>
                <w:b/>
                <w:sz w:val="32"/>
              </w:rPr>
            </w:pPr>
            <w:r w:rsidRPr="0061427C">
              <w:rPr>
                <w:b/>
                <w:sz w:val="32"/>
              </w:rPr>
              <w:t xml:space="preserve">Topic </w:t>
            </w:r>
            <w:r>
              <w:rPr>
                <w:b/>
                <w:sz w:val="32"/>
              </w:rPr>
              <w:t>5</w:t>
            </w:r>
            <w:r w:rsidRPr="0061427C">
              <w:rPr>
                <w:b/>
                <w:sz w:val="32"/>
              </w:rPr>
              <w:t xml:space="preserve"> – </w:t>
            </w:r>
            <w:r>
              <w:rPr>
                <w:b/>
                <w:sz w:val="32"/>
              </w:rPr>
              <w:t>Investment</w:t>
            </w:r>
            <w:r w:rsidR="00C44375">
              <w:rPr>
                <w:b/>
                <w:sz w:val="32"/>
              </w:rPr>
              <w:t>s</w:t>
            </w:r>
            <w:r>
              <w:rPr>
                <w:b/>
                <w:sz w:val="32"/>
              </w:rPr>
              <w:t xml:space="preserve"> and Loans</w:t>
            </w:r>
          </w:p>
        </w:tc>
      </w:tr>
      <w:tr w:rsidR="008D06D7" w:rsidTr="009905C9">
        <w:tc>
          <w:tcPr>
            <w:tcW w:w="2694" w:type="dxa"/>
          </w:tcPr>
          <w:p w:rsidR="008D06D7" w:rsidRPr="00AD784A" w:rsidRDefault="008D06D7" w:rsidP="0038317F">
            <w:pPr>
              <w:spacing w:before="120" w:after="120"/>
              <w:rPr>
                <w:b/>
              </w:rPr>
            </w:pPr>
            <w:r w:rsidRPr="00AD784A">
              <w:rPr>
                <w:b/>
              </w:rPr>
              <w:t>CONTENT</w:t>
            </w:r>
          </w:p>
        </w:tc>
        <w:tc>
          <w:tcPr>
            <w:tcW w:w="5812" w:type="dxa"/>
          </w:tcPr>
          <w:p w:rsidR="008D06D7" w:rsidRPr="00AD784A" w:rsidRDefault="008D06D7" w:rsidP="0038317F">
            <w:pPr>
              <w:spacing w:before="120" w:after="120"/>
              <w:rPr>
                <w:b/>
              </w:rPr>
            </w:pPr>
            <w:r w:rsidRPr="00AD784A">
              <w:rPr>
                <w:b/>
              </w:rPr>
              <w:t>ROUTINE</w:t>
            </w:r>
          </w:p>
        </w:tc>
        <w:tc>
          <w:tcPr>
            <w:tcW w:w="6237" w:type="dxa"/>
          </w:tcPr>
          <w:p w:rsidR="008D06D7" w:rsidRPr="00AD784A" w:rsidRDefault="008D06D7" w:rsidP="0038317F">
            <w:pPr>
              <w:spacing w:before="120" w:after="120"/>
              <w:rPr>
                <w:b/>
              </w:rPr>
            </w:pPr>
            <w:r w:rsidRPr="00AD784A">
              <w:rPr>
                <w:b/>
              </w:rPr>
              <w:t>COMPLEX</w:t>
            </w:r>
          </w:p>
        </w:tc>
      </w:tr>
      <w:tr w:rsidR="008D06D7" w:rsidTr="009905C9">
        <w:tc>
          <w:tcPr>
            <w:tcW w:w="2694" w:type="dxa"/>
            <w:vAlign w:val="center"/>
          </w:tcPr>
          <w:p w:rsidR="008D06D7" w:rsidRPr="0098371C" w:rsidRDefault="00677417" w:rsidP="0038317F">
            <w:pPr>
              <w:spacing w:before="20" w:after="20"/>
              <w:rPr>
                <w:sz w:val="20"/>
              </w:rPr>
            </w:pPr>
            <w:r w:rsidRPr="0098371C">
              <w:rPr>
                <w:sz w:val="20"/>
              </w:rPr>
              <w:t>5.1</w:t>
            </w:r>
            <w:r w:rsidR="001A3655" w:rsidRPr="0098371C">
              <w:rPr>
                <w:sz w:val="20"/>
              </w:rPr>
              <w:t xml:space="preserve"> Lump-sum I</w:t>
            </w:r>
            <w:r w:rsidRPr="0098371C">
              <w:rPr>
                <w:sz w:val="20"/>
              </w:rPr>
              <w:t>nvestments</w:t>
            </w:r>
          </w:p>
        </w:tc>
        <w:tc>
          <w:tcPr>
            <w:tcW w:w="5812" w:type="dxa"/>
            <w:vAlign w:val="center"/>
          </w:tcPr>
          <w:p w:rsidR="008D06D7" w:rsidRPr="0098371C" w:rsidRDefault="00684729" w:rsidP="00F32ADB">
            <w:pPr>
              <w:spacing w:before="40" w:after="40"/>
              <w:rPr>
                <w:sz w:val="20"/>
              </w:rPr>
            </w:pPr>
            <w:r w:rsidRPr="0098371C">
              <w:rPr>
                <w:sz w:val="20"/>
              </w:rPr>
              <w:t>Calculation of i</w:t>
            </w:r>
            <w:r w:rsidR="001A3655" w:rsidRPr="0098371C">
              <w:rPr>
                <w:sz w:val="20"/>
              </w:rPr>
              <w:t xml:space="preserve">nterest earnt </w:t>
            </w:r>
            <w:r w:rsidR="00F32ADB">
              <w:rPr>
                <w:sz w:val="20"/>
              </w:rPr>
              <w:t>on</w:t>
            </w:r>
            <w:r w:rsidR="00EB2E96" w:rsidRPr="0098371C">
              <w:rPr>
                <w:sz w:val="20"/>
              </w:rPr>
              <w:t xml:space="preserve"> a lump sum </w:t>
            </w:r>
            <w:r w:rsidRPr="0098371C">
              <w:rPr>
                <w:sz w:val="20"/>
              </w:rPr>
              <w:t xml:space="preserve">investment, </w:t>
            </w:r>
            <w:r w:rsidR="00EB2E96" w:rsidRPr="0098371C">
              <w:rPr>
                <w:sz w:val="20"/>
              </w:rPr>
              <w:t>using simple or compound interest calculations.</w:t>
            </w:r>
          </w:p>
        </w:tc>
        <w:tc>
          <w:tcPr>
            <w:tcW w:w="6237" w:type="dxa"/>
            <w:vAlign w:val="center"/>
          </w:tcPr>
          <w:p w:rsidR="008D06D7" w:rsidRPr="0098371C" w:rsidRDefault="001A3655" w:rsidP="006E772D">
            <w:pPr>
              <w:spacing w:before="40" w:after="40"/>
              <w:rPr>
                <w:sz w:val="20"/>
              </w:rPr>
            </w:pPr>
            <w:r w:rsidRPr="0098371C">
              <w:rPr>
                <w:sz w:val="20"/>
              </w:rPr>
              <w:t xml:space="preserve">Rearranging the simple interest formula </w:t>
            </w:r>
            <w:r w:rsidRPr="0098371C">
              <w:rPr>
                <w:b/>
                <w:sz w:val="20"/>
              </w:rPr>
              <w:t>or</w:t>
            </w:r>
            <w:r w:rsidRPr="0098371C">
              <w:rPr>
                <w:sz w:val="20"/>
              </w:rPr>
              <w:t xml:space="preserve"> </w:t>
            </w:r>
            <w:r w:rsidR="00684729" w:rsidRPr="0098371C">
              <w:rPr>
                <w:sz w:val="20"/>
              </w:rPr>
              <w:t xml:space="preserve">investigating multi-step problems without step-by-step scaffolding </w:t>
            </w:r>
            <w:r w:rsidR="00684729" w:rsidRPr="0098371C">
              <w:rPr>
                <w:b/>
                <w:sz w:val="20"/>
              </w:rPr>
              <w:t>or</w:t>
            </w:r>
            <w:r w:rsidR="00684729" w:rsidRPr="0098371C">
              <w:rPr>
                <w:sz w:val="20"/>
              </w:rPr>
              <w:t xml:space="preserve"> CI problems requiring a change of </w:t>
            </w:r>
            <w:r w:rsidR="006E772D">
              <w:rPr>
                <w:sz w:val="20"/>
              </w:rPr>
              <w:t xml:space="preserve">more than one variable </w:t>
            </w:r>
            <w:r w:rsidR="006E772D" w:rsidRPr="006E772D">
              <w:rPr>
                <w:b/>
                <w:sz w:val="20"/>
              </w:rPr>
              <w:t>or</w:t>
            </w:r>
            <w:r w:rsidR="006E772D">
              <w:rPr>
                <w:sz w:val="20"/>
              </w:rPr>
              <w:t xml:space="preserve"> using technology to investigate a range of what-if questions.</w:t>
            </w:r>
          </w:p>
        </w:tc>
      </w:tr>
      <w:tr w:rsidR="008D06D7" w:rsidTr="009905C9">
        <w:tc>
          <w:tcPr>
            <w:tcW w:w="2694" w:type="dxa"/>
            <w:vAlign w:val="center"/>
          </w:tcPr>
          <w:p w:rsidR="008D06D7" w:rsidRPr="0098371C" w:rsidRDefault="008D06D7" w:rsidP="0038317F">
            <w:pPr>
              <w:spacing w:before="20" w:after="20"/>
              <w:rPr>
                <w:sz w:val="20"/>
              </w:rPr>
            </w:pPr>
          </w:p>
        </w:tc>
        <w:tc>
          <w:tcPr>
            <w:tcW w:w="5812" w:type="dxa"/>
            <w:vAlign w:val="center"/>
          </w:tcPr>
          <w:p w:rsidR="008D06D7" w:rsidRPr="0098371C" w:rsidRDefault="00684729" w:rsidP="00684729">
            <w:pPr>
              <w:spacing w:before="40" w:after="40"/>
              <w:rPr>
                <w:sz w:val="20"/>
              </w:rPr>
            </w:pPr>
            <w:r w:rsidRPr="0098371C">
              <w:rPr>
                <w:sz w:val="20"/>
              </w:rPr>
              <w:t>Calculations relating to the impact of taxation on investments with step-by-step scaffolding.</w:t>
            </w:r>
          </w:p>
        </w:tc>
        <w:tc>
          <w:tcPr>
            <w:tcW w:w="6237" w:type="dxa"/>
            <w:vAlign w:val="center"/>
          </w:tcPr>
          <w:p w:rsidR="008D06D7" w:rsidRPr="0098371C" w:rsidRDefault="00684729" w:rsidP="0038317F">
            <w:pPr>
              <w:spacing w:before="40" w:after="40"/>
              <w:rPr>
                <w:sz w:val="20"/>
              </w:rPr>
            </w:pPr>
            <w:r w:rsidRPr="0098371C">
              <w:rPr>
                <w:sz w:val="20"/>
              </w:rPr>
              <w:t>Calculations relating to the impact of taxation on investments without step-by-step scaffolding.</w:t>
            </w:r>
          </w:p>
        </w:tc>
      </w:tr>
      <w:tr w:rsidR="00684729" w:rsidTr="009905C9">
        <w:tc>
          <w:tcPr>
            <w:tcW w:w="2694" w:type="dxa"/>
            <w:vAlign w:val="center"/>
          </w:tcPr>
          <w:p w:rsidR="00684729" w:rsidRPr="0098371C" w:rsidRDefault="00684729" w:rsidP="0038317F">
            <w:pPr>
              <w:spacing w:before="20" w:after="20"/>
              <w:rPr>
                <w:sz w:val="20"/>
              </w:rPr>
            </w:pPr>
          </w:p>
        </w:tc>
        <w:tc>
          <w:tcPr>
            <w:tcW w:w="5812" w:type="dxa"/>
            <w:vAlign w:val="center"/>
          </w:tcPr>
          <w:p w:rsidR="00684729" w:rsidRPr="0098371C" w:rsidRDefault="00684729" w:rsidP="00684729">
            <w:pPr>
              <w:spacing w:before="40" w:after="40"/>
              <w:rPr>
                <w:sz w:val="20"/>
              </w:rPr>
            </w:pPr>
            <w:r w:rsidRPr="0098371C">
              <w:rPr>
                <w:sz w:val="20"/>
              </w:rPr>
              <w:t>Calculations relating to the impact of inflation on investments with step-by-step scaffolding.</w:t>
            </w:r>
          </w:p>
        </w:tc>
        <w:tc>
          <w:tcPr>
            <w:tcW w:w="6237" w:type="dxa"/>
            <w:vAlign w:val="center"/>
          </w:tcPr>
          <w:p w:rsidR="00684729" w:rsidRPr="0098371C" w:rsidRDefault="00684729" w:rsidP="0038317F">
            <w:pPr>
              <w:spacing w:before="40" w:after="40"/>
              <w:rPr>
                <w:sz w:val="20"/>
              </w:rPr>
            </w:pPr>
            <w:r w:rsidRPr="0098371C">
              <w:rPr>
                <w:sz w:val="20"/>
              </w:rPr>
              <w:t>Calculations relating to the impact of inflation on investments without step-by-step scaffolding.</w:t>
            </w:r>
          </w:p>
        </w:tc>
      </w:tr>
      <w:tr w:rsidR="008D06D7" w:rsidTr="009905C9">
        <w:tc>
          <w:tcPr>
            <w:tcW w:w="2694" w:type="dxa"/>
            <w:vAlign w:val="center"/>
          </w:tcPr>
          <w:p w:rsidR="008D06D7" w:rsidRPr="0098371C" w:rsidRDefault="001A3655" w:rsidP="0038317F">
            <w:pPr>
              <w:spacing w:before="20" w:after="20"/>
              <w:rPr>
                <w:sz w:val="20"/>
              </w:rPr>
            </w:pPr>
            <w:r w:rsidRPr="0098371C">
              <w:rPr>
                <w:sz w:val="20"/>
              </w:rPr>
              <w:t>5.2 Annuity Investments</w:t>
            </w:r>
          </w:p>
        </w:tc>
        <w:tc>
          <w:tcPr>
            <w:tcW w:w="5812" w:type="dxa"/>
            <w:vAlign w:val="center"/>
          </w:tcPr>
          <w:p w:rsidR="0098371C" w:rsidRPr="0098371C" w:rsidRDefault="00684729" w:rsidP="0098371C">
            <w:pPr>
              <w:spacing w:before="40" w:after="40"/>
              <w:rPr>
                <w:sz w:val="20"/>
              </w:rPr>
            </w:pPr>
            <w:r w:rsidRPr="0098371C">
              <w:rPr>
                <w:sz w:val="20"/>
              </w:rPr>
              <w:t>Calculations of future-value annuities beyond the initial calculation</w:t>
            </w:r>
            <w:r w:rsidR="0098371C" w:rsidRPr="0098371C">
              <w:rPr>
                <w:sz w:val="20"/>
              </w:rPr>
              <w:t>.</w:t>
            </w:r>
          </w:p>
        </w:tc>
        <w:tc>
          <w:tcPr>
            <w:tcW w:w="6237" w:type="dxa"/>
            <w:vAlign w:val="center"/>
          </w:tcPr>
          <w:p w:rsidR="008D06D7" w:rsidRPr="0098371C" w:rsidRDefault="00684729" w:rsidP="00F32ADB">
            <w:pPr>
              <w:spacing w:before="40" w:after="40"/>
              <w:rPr>
                <w:sz w:val="20"/>
              </w:rPr>
            </w:pPr>
            <w:r w:rsidRPr="0098371C">
              <w:rPr>
                <w:sz w:val="20"/>
              </w:rPr>
              <w:t xml:space="preserve">Recognition and </w:t>
            </w:r>
            <w:r w:rsidR="00F32ADB">
              <w:rPr>
                <w:sz w:val="20"/>
              </w:rPr>
              <w:t>initial set-up of</w:t>
            </w:r>
            <w:r w:rsidRPr="0098371C">
              <w:rPr>
                <w:sz w:val="20"/>
              </w:rPr>
              <w:t xml:space="preserve"> calculation of future-value annuities, with an</w:t>
            </w:r>
            <w:r w:rsidR="009905C9">
              <w:rPr>
                <w:sz w:val="20"/>
              </w:rPr>
              <w:t>d without an initial investment, including superannuation calculations.</w:t>
            </w:r>
          </w:p>
        </w:tc>
      </w:tr>
      <w:tr w:rsidR="006E772D" w:rsidTr="009905C9">
        <w:tc>
          <w:tcPr>
            <w:tcW w:w="2694" w:type="dxa"/>
            <w:vAlign w:val="center"/>
          </w:tcPr>
          <w:p w:rsidR="006E772D" w:rsidRPr="0098371C" w:rsidRDefault="006E772D" w:rsidP="0038317F">
            <w:pPr>
              <w:spacing w:before="20" w:after="20"/>
              <w:rPr>
                <w:sz w:val="20"/>
              </w:rPr>
            </w:pPr>
          </w:p>
        </w:tc>
        <w:tc>
          <w:tcPr>
            <w:tcW w:w="5812" w:type="dxa"/>
            <w:vAlign w:val="center"/>
          </w:tcPr>
          <w:p w:rsidR="006E772D" w:rsidRPr="0098371C" w:rsidRDefault="006E772D" w:rsidP="0098371C">
            <w:pPr>
              <w:spacing w:before="40" w:after="40"/>
              <w:rPr>
                <w:sz w:val="20"/>
              </w:rPr>
            </w:pPr>
            <w:r w:rsidRPr="0098371C">
              <w:rPr>
                <w:sz w:val="20"/>
              </w:rPr>
              <w:t>What if questions…changing one variable (future values, payments, rates and time).</w:t>
            </w:r>
          </w:p>
        </w:tc>
        <w:tc>
          <w:tcPr>
            <w:tcW w:w="6237" w:type="dxa"/>
            <w:vAlign w:val="center"/>
          </w:tcPr>
          <w:p w:rsidR="006E772D" w:rsidRPr="0098371C" w:rsidRDefault="006E772D" w:rsidP="0038317F">
            <w:pPr>
              <w:spacing w:before="40" w:after="40"/>
              <w:rPr>
                <w:sz w:val="20"/>
              </w:rPr>
            </w:pPr>
            <w:r w:rsidRPr="0098371C">
              <w:rPr>
                <w:sz w:val="20"/>
              </w:rPr>
              <w:t>What if questions…changing more than one variable (future values, payments, rates and time).</w:t>
            </w:r>
          </w:p>
        </w:tc>
      </w:tr>
      <w:tr w:rsidR="00684729" w:rsidTr="009905C9">
        <w:tc>
          <w:tcPr>
            <w:tcW w:w="2694" w:type="dxa"/>
            <w:vAlign w:val="center"/>
          </w:tcPr>
          <w:p w:rsidR="00684729" w:rsidRPr="0098371C" w:rsidRDefault="00684729" w:rsidP="0038317F">
            <w:pPr>
              <w:spacing w:before="20" w:after="20"/>
              <w:rPr>
                <w:sz w:val="20"/>
              </w:rPr>
            </w:pPr>
          </w:p>
        </w:tc>
        <w:tc>
          <w:tcPr>
            <w:tcW w:w="5812" w:type="dxa"/>
            <w:vAlign w:val="center"/>
          </w:tcPr>
          <w:p w:rsidR="00684729" w:rsidRPr="0098371C" w:rsidRDefault="00684729" w:rsidP="0038317F">
            <w:pPr>
              <w:spacing w:before="40" w:after="40"/>
              <w:rPr>
                <w:rFonts w:cs="Arial"/>
                <w:sz w:val="20"/>
              </w:rPr>
            </w:pPr>
            <w:r w:rsidRPr="0098371C">
              <w:rPr>
                <w:sz w:val="20"/>
              </w:rPr>
              <w:t>Calculations relating to the impact of taxation and inflation on the future-value annuity.</w:t>
            </w:r>
          </w:p>
        </w:tc>
        <w:tc>
          <w:tcPr>
            <w:tcW w:w="6237" w:type="dxa"/>
            <w:vAlign w:val="center"/>
          </w:tcPr>
          <w:p w:rsidR="00684729" w:rsidRPr="0098371C" w:rsidRDefault="00684729" w:rsidP="0038317F">
            <w:pPr>
              <w:spacing w:before="40" w:after="40"/>
              <w:rPr>
                <w:sz w:val="20"/>
              </w:rPr>
            </w:pPr>
          </w:p>
        </w:tc>
      </w:tr>
      <w:tr w:rsidR="0098371C" w:rsidTr="009905C9">
        <w:tc>
          <w:tcPr>
            <w:tcW w:w="2694" w:type="dxa"/>
            <w:vAlign w:val="center"/>
          </w:tcPr>
          <w:p w:rsidR="0098371C" w:rsidRPr="0098371C" w:rsidRDefault="0098371C" w:rsidP="0038317F">
            <w:pPr>
              <w:spacing w:before="20" w:after="20"/>
              <w:rPr>
                <w:sz w:val="20"/>
              </w:rPr>
            </w:pPr>
          </w:p>
        </w:tc>
        <w:tc>
          <w:tcPr>
            <w:tcW w:w="5812" w:type="dxa"/>
            <w:vAlign w:val="center"/>
          </w:tcPr>
          <w:p w:rsidR="0098371C" w:rsidRPr="0098371C" w:rsidRDefault="0098371C" w:rsidP="0038317F">
            <w:pPr>
              <w:spacing w:before="40" w:after="40"/>
              <w:rPr>
                <w:sz w:val="20"/>
              </w:rPr>
            </w:pPr>
          </w:p>
        </w:tc>
        <w:tc>
          <w:tcPr>
            <w:tcW w:w="6237" w:type="dxa"/>
            <w:vAlign w:val="center"/>
          </w:tcPr>
          <w:p w:rsidR="0098371C" w:rsidRPr="0098371C" w:rsidRDefault="0098371C" w:rsidP="0098371C">
            <w:pPr>
              <w:spacing w:before="40" w:after="40"/>
              <w:rPr>
                <w:sz w:val="20"/>
              </w:rPr>
            </w:pPr>
            <w:r w:rsidRPr="0098371C">
              <w:rPr>
                <w:sz w:val="20"/>
              </w:rPr>
              <w:t>Analysing the assumptions made and reasonableness of answers in future value annuity calculations.</w:t>
            </w:r>
          </w:p>
        </w:tc>
      </w:tr>
      <w:tr w:rsidR="0098371C" w:rsidTr="009905C9">
        <w:tc>
          <w:tcPr>
            <w:tcW w:w="2694" w:type="dxa"/>
            <w:vAlign w:val="center"/>
          </w:tcPr>
          <w:p w:rsidR="0098371C" w:rsidRPr="0098371C" w:rsidRDefault="0098371C" w:rsidP="0038317F">
            <w:pPr>
              <w:spacing w:before="20" w:after="20"/>
              <w:rPr>
                <w:rFonts w:cs="Arial"/>
                <w:sz w:val="20"/>
              </w:rPr>
            </w:pPr>
            <w:r w:rsidRPr="0098371C">
              <w:rPr>
                <w:rFonts w:cs="Arial"/>
                <w:sz w:val="20"/>
              </w:rPr>
              <w:t>5.3 Loan Annuities</w:t>
            </w:r>
          </w:p>
        </w:tc>
        <w:tc>
          <w:tcPr>
            <w:tcW w:w="5812" w:type="dxa"/>
            <w:vAlign w:val="center"/>
          </w:tcPr>
          <w:p w:rsidR="0098371C" w:rsidRPr="006E772D" w:rsidRDefault="0098371C" w:rsidP="0098371C">
            <w:pPr>
              <w:spacing w:before="40" w:after="40"/>
              <w:rPr>
                <w:sz w:val="20"/>
              </w:rPr>
            </w:pPr>
            <w:r w:rsidRPr="0098371C">
              <w:rPr>
                <w:sz w:val="20"/>
              </w:rPr>
              <w:t xml:space="preserve">Calculation of present-value annuities beyond the initial calculation. </w:t>
            </w:r>
          </w:p>
        </w:tc>
        <w:tc>
          <w:tcPr>
            <w:tcW w:w="6237" w:type="dxa"/>
            <w:vAlign w:val="center"/>
          </w:tcPr>
          <w:p w:rsidR="0098371C" w:rsidRPr="006E772D" w:rsidRDefault="00F32ADB" w:rsidP="0098371C">
            <w:pPr>
              <w:spacing w:before="40" w:after="40"/>
              <w:rPr>
                <w:sz w:val="20"/>
              </w:rPr>
            </w:pPr>
            <w:r>
              <w:rPr>
                <w:sz w:val="20"/>
              </w:rPr>
              <w:t>Recognition and initial set-</w:t>
            </w:r>
            <w:bookmarkStart w:id="0" w:name="_GoBack"/>
            <w:bookmarkEnd w:id="0"/>
            <w:r>
              <w:rPr>
                <w:sz w:val="20"/>
              </w:rPr>
              <w:t>up of</w:t>
            </w:r>
            <w:r w:rsidR="006E772D" w:rsidRPr="0098371C">
              <w:rPr>
                <w:sz w:val="20"/>
              </w:rPr>
              <w:t xml:space="preserve"> calculation of present-value annuities.</w:t>
            </w:r>
          </w:p>
        </w:tc>
      </w:tr>
      <w:tr w:rsidR="006E772D" w:rsidTr="009905C9">
        <w:tc>
          <w:tcPr>
            <w:tcW w:w="2694" w:type="dxa"/>
            <w:vAlign w:val="center"/>
          </w:tcPr>
          <w:p w:rsidR="006E772D" w:rsidRPr="0098371C" w:rsidRDefault="006E772D" w:rsidP="0038317F">
            <w:pPr>
              <w:spacing w:before="20" w:after="20"/>
              <w:rPr>
                <w:rFonts w:cs="Arial"/>
                <w:sz w:val="20"/>
              </w:rPr>
            </w:pPr>
          </w:p>
        </w:tc>
        <w:tc>
          <w:tcPr>
            <w:tcW w:w="5812" w:type="dxa"/>
            <w:vAlign w:val="center"/>
          </w:tcPr>
          <w:p w:rsidR="006E772D" w:rsidRPr="0098371C" w:rsidRDefault="006E772D" w:rsidP="0098371C">
            <w:pPr>
              <w:spacing w:before="40" w:after="40"/>
              <w:rPr>
                <w:sz w:val="20"/>
              </w:rPr>
            </w:pPr>
            <w:r>
              <w:rPr>
                <w:sz w:val="20"/>
              </w:rPr>
              <w:t>‘</w:t>
            </w:r>
            <w:r w:rsidRPr="0098371C">
              <w:rPr>
                <w:sz w:val="20"/>
              </w:rPr>
              <w:t>What if</w:t>
            </w:r>
            <w:r>
              <w:rPr>
                <w:sz w:val="20"/>
              </w:rPr>
              <w:t>’</w:t>
            </w:r>
            <w:r w:rsidRPr="0098371C">
              <w:rPr>
                <w:sz w:val="20"/>
              </w:rPr>
              <w:t xml:space="preserve"> questions…changing one variable (present values, payments, rates and time)</w:t>
            </w:r>
            <w:r>
              <w:rPr>
                <w:sz w:val="20"/>
              </w:rPr>
              <w:t>.</w:t>
            </w:r>
          </w:p>
        </w:tc>
        <w:tc>
          <w:tcPr>
            <w:tcW w:w="6237" w:type="dxa"/>
            <w:vAlign w:val="center"/>
          </w:tcPr>
          <w:p w:rsidR="006E772D" w:rsidRPr="0098371C" w:rsidRDefault="006E772D" w:rsidP="006E772D">
            <w:pPr>
              <w:spacing w:before="40" w:after="40"/>
              <w:rPr>
                <w:sz w:val="20"/>
              </w:rPr>
            </w:pPr>
            <w:r>
              <w:rPr>
                <w:sz w:val="20"/>
              </w:rPr>
              <w:t>‘</w:t>
            </w:r>
            <w:r w:rsidRPr="0098371C">
              <w:rPr>
                <w:sz w:val="20"/>
              </w:rPr>
              <w:t>What if</w:t>
            </w:r>
            <w:r>
              <w:rPr>
                <w:sz w:val="20"/>
              </w:rPr>
              <w:t>’</w:t>
            </w:r>
            <w:r w:rsidRPr="0098371C">
              <w:rPr>
                <w:sz w:val="20"/>
              </w:rPr>
              <w:t xml:space="preserve"> questions…changing more than one variable (present values, payments, rates and time).</w:t>
            </w:r>
          </w:p>
        </w:tc>
      </w:tr>
      <w:tr w:rsidR="0030770A" w:rsidTr="009905C9">
        <w:tc>
          <w:tcPr>
            <w:tcW w:w="2694" w:type="dxa"/>
            <w:vAlign w:val="center"/>
          </w:tcPr>
          <w:p w:rsidR="0030770A" w:rsidRPr="0098371C" w:rsidRDefault="0030770A" w:rsidP="0038317F">
            <w:pPr>
              <w:spacing w:before="20" w:after="20"/>
              <w:rPr>
                <w:rFonts w:cs="Arial"/>
                <w:sz w:val="20"/>
              </w:rPr>
            </w:pPr>
          </w:p>
        </w:tc>
        <w:tc>
          <w:tcPr>
            <w:tcW w:w="5812" w:type="dxa"/>
            <w:vAlign w:val="center"/>
          </w:tcPr>
          <w:p w:rsidR="0030770A" w:rsidRPr="0098371C" w:rsidRDefault="0030770A" w:rsidP="0038317F">
            <w:pPr>
              <w:spacing w:before="40" w:after="40"/>
              <w:rPr>
                <w:rFonts w:cs="Arial"/>
                <w:sz w:val="20"/>
              </w:rPr>
            </w:pPr>
            <w:r w:rsidRPr="0098371C">
              <w:rPr>
                <w:rFonts w:cs="Arial"/>
                <w:sz w:val="20"/>
              </w:rPr>
              <w:t>Strategies that can minimise the interest paid on a loan.</w:t>
            </w:r>
          </w:p>
        </w:tc>
        <w:tc>
          <w:tcPr>
            <w:tcW w:w="6237" w:type="dxa"/>
            <w:vAlign w:val="center"/>
          </w:tcPr>
          <w:p w:rsidR="0030770A" w:rsidRPr="0098371C" w:rsidRDefault="0098371C" w:rsidP="0038317F">
            <w:pPr>
              <w:spacing w:before="40" w:after="40"/>
              <w:rPr>
                <w:rFonts w:cs="Arial"/>
                <w:sz w:val="20"/>
              </w:rPr>
            </w:pPr>
            <w:r w:rsidRPr="0098371C">
              <w:rPr>
                <w:rFonts w:cs="Arial"/>
                <w:sz w:val="20"/>
              </w:rPr>
              <w:t>Analysing the reasonableness of the strategies for minimising interest paid on a loan.</w:t>
            </w:r>
          </w:p>
        </w:tc>
      </w:tr>
      <w:tr w:rsidR="0030770A" w:rsidTr="009905C9">
        <w:tc>
          <w:tcPr>
            <w:tcW w:w="2694" w:type="dxa"/>
            <w:vAlign w:val="center"/>
          </w:tcPr>
          <w:p w:rsidR="0030770A" w:rsidRPr="0098371C" w:rsidRDefault="0030770A" w:rsidP="0038317F">
            <w:pPr>
              <w:spacing w:before="20" w:after="20"/>
              <w:rPr>
                <w:rFonts w:cs="Arial"/>
                <w:sz w:val="20"/>
              </w:rPr>
            </w:pPr>
          </w:p>
        </w:tc>
        <w:tc>
          <w:tcPr>
            <w:tcW w:w="5812" w:type="dxa"/>
            <w:vAlign w:val="center"/>
          </w:tcPr>
          <w:p w:rsidR="0030770A" w:rsidRPr="0098371C" w:rsidRDefault="0030770A" w:rsidP="0038317F">
            <w:pPr>
              <w:spacing w:before="40" w:after="40"/>
              <w:rPr>
                <w:rFonts w:cs="Arial"/>
                <w:sz w:val="20"/>
              </w:rPr>
            </w:pPr>
            <w:r w:rsidRPr="0098371C">
              <w:rPr>
                <w:rFonts w:cs="Arial"/>
                <w:sz w:val="20"/>
              </w:rPr>
              <w:t>Importance of factors other than interest rate when taking out a loan (fees and charges, comparison rates – no calculations required)</w:t>
            </w:r>
            <w:r w:rsidR="00684729" w:rsidRPr="0098371C">
              <w:rPr>
                <w:rFonts w:cs="Arial"/>
                <w:sz w:val="20"/>
              </w:rPr>
              <w:t>.</w:t>
            </w:r>
            <w:r w:rsidRPr="0098371C">
              <w:rPr>
                <w:rFonts w:cs="Arial"/>
                <w:sz w:val="20"/>
              </w:rPr>
              <w:t xml:space="preserve"> </w:t>
            </w:r>
          </w:p>
        </w:tc>
        <w:tc>
          <w:tcPr>
            <w:tcW w:w="6237" w:type="dxa"/>
            <w:vAlign w:val="center"/>
          </w:tcPr>
          <w:p w:rsidR="0030770A" w:rsidRPr="0098371C" w:rsidRDefault="0030770A" w:rsidP="0038317F">
            <w:pPr>
              <w:spacing w:before="40" w:after="40"/>
              <w:rPr>
                <w:rFonts w:cs="Arial"/>
                <w:sz w:val="20"/>
              </w:rPr>
            </w:pPr>
          </w:p>
        </w:tc>
      </w:tr>
    </w:tbl>
    <w:p w:rsidR="008D06D7" w:rsidRDefault="008D06D7"/>
    <w:sectPr w:rsidR="008D06D7" w:rsidSect="0061427C">
      <w:pgSz w:w="16838" w:h="11906" w:orient="landscape"/>
      <w:pgMar w:top="568" w:right="1300" w:bottom="1135" w:left="1440" w:header="708"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14B" w:rsidRDefault="00B0514B" w:rsidP="00AD784A">
      <w:r>
        <w:separator/>
      </w:r>
    </w:p>
  </w:endnote>
  <w:endnote w:type="continuationSeparator" w:id="0">
    <w:p w:rsidR="00B0514B" w:rsidRDefault="00B0514B" w:rsidP="00AD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84A" w:rsidRDefault="00AD784A" w:rsidP="0061427C">
    <w:pPr>
      <w:pStyle w:val="LAPFooter"/>
      <w:tabs>
        <w:tab w:val="clear" w:pos="9639"/>
        <w:tab w:val="clear" w:pos="14742"/>
        <w:tab w:val="right" w:pos="13892"/>
        <w:tab w:val="right" w:pos="15451"/>
      </w:tabs>
      <w:ind w:right="1364"/>
    </w:pPr>
    <w:r w:rsidRPr="00D128A8">
      <w:t xml:space="preserve">Page </w:t>
    </w:r>
    <w:r w:rsidRPr="00D128A8">
      <w:fldChar w:fldCharType="begin"/>
    </w:r>
    <w:r w:rsidRPr="00D128A8">
      <w:instrText xml:space="preserve"> PAGE </w:instrText>
    </w:r>
    <w:r w:rsidRPr="00D128A8">
      <w:fldChar w:fldCharType="separate"/>
    </w:r>
    <w:r w:rsidR="00F32ADB">
      <w:rPr>
        <w:noProof/>
      </w:rPr>
      <w:t>4</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32ADB">
      <w:rPr>
        <w:noProof/>
      </w:rPr>
      <w:t>4</w:t>
    </w:r>
    <w:r w:rsidRPr="00D128A8">
      <w:fldChar w:fldCharType="end"/>
    </w:r>
    <w:r w:rsidR="0061427C">
      <w:tab/>
      <w:t>Stage 2 Essential</w:t>
    </w:r>
    <w:r>
      <w:t xml:space="preserve"> Mathematics – Routine and Complex support</w:t>
    </w:r>
  </w:p>
  <w:p w:rsidR="00AD784A" w:rsidRPr="00AD3BD3" w:rsidRDefault="0061427C" w:rsidP="0061427C">
    <w:pPr>
      <w:pStyle w:val="LAPFooter"/>
      <w:tabs>
        <w:tab w:val="clear" w:pos="9639"/>
        <w:tab w:val="clear" w:pos="14742"/>
        <w:tab w:val="right" w:pos="13892"/>
        <w:tab w:val="right" w:pos="15451"/>
      </w:tabs>
    </w:pPr>
    <w:r>
      <w:rPr>
        <w:spacing w:val="-4"/>
      </w:rPr>
      <w:tab/>
    </w:r>
    <w:r w:rsidR="00AD784A" w:rsidRPr="009723BD">
      <w:rPr>
        <w:spacing w:val="-4"/>
      </w:rPr>
      <w:t xml:space="preserve">Ref: </w:t>
    </w:r>
    <w:r w:rsidR="00AD784A" w:rsidRPr="009723BD">
      <w:rPr>
        <w:spacing w:val="-4"/>
      </w:rPr>
      <w:fldChar w:fldCharType="begin"/>
    </w:r>
    <w:r w:rsidR="00AD784A" w:rsidRPr="009723BD">
      <w:rPr>
        <w:spacing w:val="-4"/>
      </w:rPr>
      <w:instrText xml:space="preserve"> DOCPROPERTY  Objective-Id </w:instrText>
    </w:r>
    <w:r w:rsidR="00AD784A" w:rsidRPr="009723BD">
      <w:rPr>
        <w:spacing w:val="-4"/>
      </w:rPr>
      <w:fldChar w:fldCharType="separate"/>
    </w:r>
    <w:r w:rsidR="00090B68">
      <w:rPr>
        <w:spacing w:val="-4"/>
      </w:rPr>
      <w:t>A622705</w:t>
    </w:r>
    <w:r w:rsidR="00AD784A" w:rsidRPr="009723BD">
      <w:rPr>
        <w:spacing w:val="-4"/>
      </w:rPr>
      <w:fldChar w:fldCharType="end"/>
    </w:r>
    <w:r w:rsidR="00AD784A" w:rsidRPr="009723BD">
      <w:rPr>
        <w:spacing w:val="-4"/>
      </w:rPr>
      <w:t xml:space="preserve"> </w:t>
    </w:r>
    <w:r w:rsidR="00AD784A" w:rsidRPr="009723BD">
      <w:t>(created</w:t>
    </w:r>
    <w:r w:rsidR="00AD784A">
      <w:t xml:space="preserve"> March 2017)</w:t>
    </w:r>
  </w:p>
  <w:p w:rsidR="00AD784A" w:rsidRDefault="0061427C" w:rsidP="0061427C">
    <w:pPr>
      <w:pStyle w:val="LAPFooter"/>
      <w:tabs>
        <w:tab w:val="clear" w:pos="9639"/>
        <w:tab w:val="clear" w:pos="14742"/>
        <w:tab w:val="right" w:pos="13892"/>
        <w:tab w:val="right" w:pos="15451"/>
      </w:tabs>
    </w:pPr>
    <w:r>
      <w:tab/>
    </w:r>
    <w:r w:rsidR="00AD784A" w:rsidRPr="00AD3BD3">
      <w:t>© SACE Board of South</w:t>
    </w:r>
    <w:r w:rsidR="00AD784A">
      <w:t xml:space="preserve"> Australia 2017</w:t>
    </w:r>
  </w:p>
  <w:p w:rsidR="00AD784A" w:rsidRDefault="00AD784A" w:rsidP="00AD784A">
    <w:pPr>
      <w:pStyle w:val="Footer"/>
      <w:tabs>
        <w:tab w:val="clear" w:pos="4513"/>
        <w:tab w:val="clear" w:pos="90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14B" w:rsidRDefault="00B0514B" w:rsidP="00AD784A">
      <w:r>
        <w:separator/>
      </w:r>
    </w:p>
  </w:footnote>
  <w:footnote w:type="continuationSeparator" w:id="0">
    <w:p w:rsidR="00B0514B" w:rsidRDefault="00B0514B" w:rsidP="00AD7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84A"/>
    <w:rsid w:val="00032C6D"/>
    <w:rsid w:val="00090B68"/>
    <w:rsid w:val="00130841"/>
    <w:rsid w:val="001A3655"/>
    <w:rsid w:val="001E5A79"/>
    <w:rsid w:val="002671B3"/>
    <w:rsid w:val="0028034F"/>
    <w:rsid w:val="002A5D97"/>
    <w:rsid w:val="002B6EFD"/>
    <w:rsid w:val="0030770A"/>
    <w:rsid w:val="0038317F"/>
    <w:rsid w:val="00446662"/>
    <w:rsid w:val="004C05F4"/>
    <w:rsid w:val="004E7995"/>
    <w:rsid w:val="00533713"/>
    <w:rsid w:val="0061427C"/>
    <w:rsid w:val="00661018"/>
    <w:rsid w:val="00677417"/>
    <w:rsid w:val="00684729"/>
    <w:rsid w:val="006977CB"/>
    <w:rsid w:val="006E772D"/>
    <w:rsid w:val="0087225B"/>
    <w:rsid w:val="008D06D7"/>
    <w:rsid w:val="009105C4"/>
    <w:rsid w:val="00912C4B"/>
    <w:rsid w:val="0097363F"/>
    <w:rsid w:val="0098371C"/>
    <w:rsid w:val="009905C9"/>
    <w:rsid w:val="00AD13BB"/>
    <w:rsid w:val="00AD7230"/>
    <w:rsid w:val="00AD784A"/>
    <w:rsid w:val="00B0514B"/>
    <w:rsid w:val="00BD3D10"/>
    <w:rsid w:val="00C44375"/>
    <w:rsid w:val="00C61CEF"/>
    <w:rsid w:val="00C83D72"/>
    <w:rsid w:val="00CA63B3"/>
    <w:rsid w:val="00CE3A0C"/>
    <w:rsid w:val="00D036B5"/>
    <w:rsid w:val="00D241F3"/>
    <w:rsid w:val="00D32034"/>
    <w:rsid w:val="00D5095B"/>
    <w:rsid w:val="00D835ED"/>
    <w:rsid w:val="00DD18EB"/>
    <w:rsid w:val="00DF054C"/>
    <w:rsid w:val="00E04F6B"/>
    <w:rsid w:val="00E079A6"/>
    <w:rsid w:val="00E37287"/>
    <w:rsid w:val="00E43B75"/>
    <w:rsid w:val="00EB2E96"/>
    <w:rsid w:val="00F32ADB"/>
    <w:rsid w:val="00F45B10"/>
    <w:rsid w:val="00F761C2"/>
    <w:rsid w:val="00FA5380"/>
    <w:rsid w:val="00FA6C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4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84A"/>
    <w:pPr>
      <w:tabs>
        <w:tab w:val="center" w:pos="4513"/>
        <w:tab w:val="right" w:pos="9026"/>
      </w:tabs>
    </w:pPr>
  </w:style>
  <w:style w:type="character" w:customStyle="1" w:styleId="HeaderChar">
    <w:name w:val="Header Char"/>
    <w:basedOn w:val="DefaultParagraphFont"/>
    <w:link w:val="Header"/>
    <w:uiPriority w:val="99"/>
    <w:rsid w:val="00AD784A"/>
    <w:rPr>
      <w:rFonts w:ascii="Arial" w:hAnsi="Arial"/>
    </w:rPr>
  </w:style>
  <w:style w:type="paragraph" w:styleId="Footer">
    <w:name w:val="footer"/>
    <w:basedOn w:val="Normal"/>
    <w:link w:val="FooterChar"/>
    <w:uiPriority w:val="99"/>
    <w:unhideWhenUsed/>
    <w:rsid w:val="00AD784A"/>
    <w:pPr>
      <w:tabs>
        <w:tab w:val="center" w:pos="4513"/>
        <w:tab w:val="right" w:pos="9026"/>
      </w:tabs>
    </w:pPr>
  </w:style>
  <w:style w:type="character" w:customStyle="1" w:styleId="FooterChar">
    <w:name w:val="Footer Char"/>
    <w:basedOn w:val="DefaultParagraphFont"/>
    <w:link w:val="Footer"/>
    <w:uiPriority w:val="99"/>
    <w:rsid w:val="00AD784A"/>
    <w:rPr>
      <w:rFonts w:ascii="Arial" w:hAnsi="Arial"/>
    </w:rPr>
  </w:style>
  <w:style w:type="paragraph" w:customStyle="1" w:styleId="LAPFooter">
    <w:name w:val="LAP Footer"/>
    <w:next w:val="Normal"/>
    <w:qFormat/>
    <w:rsid w:val="00AD784A"/>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84A"/>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84A"/>
    <w:pPr>
      <w:tabs>
        <w:tab w:val="center" w:pos="4513"/>
        <w:tab w:val="right" w:pos="9026"/>
      </w:tabs>
    </w:pPr>
  </w:style>
  <w:style w:type="character" w:customStyle="1" w:styleId="HeaderChar">
    <w:name w:val="Header Char"/>
    <w:basedOn w:val="DefaultParagraphFont"/>
    <w:link w:val="Header"/>
    <w:uiPriority w:val="99"/>
    <w:rsid w:val="00AD784A"/>
    <w:rPr>
      <w:rFonts w:ascii="Arial" w:hAnsi="Arial"/>
    </w:rPr>
  </w:style>
  <w:style w:type="paragraph" w:styleId="Footer">
    <w:name w:val="footer"/>
    <w:basedOn w:val="Normal"/>
    <w:link w:val="FooterChar"/>
    <w:uiPriority w:val="99"/>
    <w:unhideWhenUsed/>
    <w:rsid w:val="00AD784A"/>
    <w:pPr>
      <w:tabs>
        <w:tab w:val="center" w:pos="4513"/>
        <w:tab w:val="right" w:pos="9026"/>
      </w:tabs>
    </w:pPr>
  </w:style>
  <w:style w:type="character" w:customStyle="1" w:styleId="FooterChar">
    <w:name w:val="Footer Char"/>
    <w:basedOn w:val="DefaultParagraphFont"/>
    <w:link w:val="Footer"/>
    <w:uiPriority w:val="99"/>
    <w:rsid w:val="00AD784A"/>
    <w:rPr>
      <w:rFonts w:ascii="Arial" w:hAnsi="Arial"/>
    </w:rPr>
  </w:style>
  <w:style w:type="paragraph" w:customStyle="1" w:styleId="LAPFooter">
    <w:name w:val="LAP Footer"/>
    <w:next w:val="Normal"/>
    <w:qFormat/>
    <w:rsid w:val="00AD784A"/>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3.xml" Id="R1e37b7e8b2c14f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A622705</value>
    </field>
    <field name="Objective-Title">
      <value order="0">Complexity Guide Essential Mathematics</value>
    </field>
    <field name="Objective-Description">
      <value order="0"/>
    </field>
    <field name="Objective-CreationStamp">
      <value order="0">2017-03-30T05:50:20Z</value>
    </field>
    <field name="Objective-IsApproved">
      <value order="0">false</value>
    </field>
    <field name="Objective-IsPublished">
      <value order="0">true</value>
    </field>
    <field name="Objective-DatePublished">
      <value order="0">2017-04-12T04:30:23Z</value>
    </field>
    <field name="Objective-ModificationStamp">
      <value order="0">2017-04-12T04:30:23Z</value>
    </field>
    <field name="Objective-Owner">
      <value order="0">Deanna Isles</value>
    </field>
    <field name="Objective-Path">
      <value order="0">Objective Global Folder:SACE Support Materials:SACE Support Materials Stage 2:Mathematics:Essential Mathematics (from 2017):Subject Advice and Strategies</value>
    </field>
    <field name="Objective-Parent">
      <value order="0">Subject Advice and Strategies</value>
    </field>
    <field name="Objective-State">
      <value order="0">Published</value>
    </field>
    <field name="Objective-VersionId">
      <value order="0">vA1113122</value>
    </field>
    <field name="Objective-Version">
      <value order="0">10.0</value>
    </field>
    <field name="Objective-VersionNumber">
      <value order="0">11</value>
    </field>
    <field name="Objective-VersionComment">
      <value order="0"/>
    </field>
    <field name="Objective-FileNumber">
      <value order="0">qA13671</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Isles</dc:creator>
  <cp:lastModifiedBy>Deanna Isles</cp:lastModifiedBy>
  <cp:revision>17</cp:revision>
  <dcterms:created xsi:type="dcterms:W3CDTF">2017-04-02T23:47:00Z</dcterms:created>
  <dcterms:modified xsi:type="dcterms:W3CDTF">2017-04-12T02:51:00Z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A622705</vt:lpwstr>
  </property>
  <property fmtid="{D5CDD505-2E9C-101B-9397-08002B2CF9AE}" pid="4" name="Objective-Title">
    <vt:lpwstr>Complexity Guide Essential Mathematics</vt:lpwstr>
  </property>
  <property fmtid="{D5CDD505-2E9C-101B-9397-08002B2CF9AE}" pid="5" name="Objective-Description">
    <vt:lpwstr/>
  </property>
  <property fmtid="{D5CDD505-2E9C-101B-9397-08002B2CF9AE}" pid="6" name="Objective-CreationStamp">
    <vt:filetime>2017-03-30T05:50:20Z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2017-04-12T04:30:23Z</vt:filetime>
  </property>
  <property fmtid="{D5CDD505-2E9C-101B-9397-08002B2CF9AE}" pid="10" name="Objective-ModificationStamp">
    <vt:filetime>2017-04-12T04:30:23Z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2:Mathematics:Essential Mathematics (from 2017):Subject Advice and Strategies</vt:lpwstr>
  </property>
  <property fmtid="{D5CDD505-2E9C-101B-9397-08002B2CF9AE}" pid="13" name="Objective-Parent">
    <vt:lpwstr>Subject Advice and Strategies</vt:lpwstr>
  </property>
  <property fmtid="{D5CDD505-2E9C-101B-9397-08002B2CF9AE}" pid="14" name="Objective-State">
    <vt:lpwstr>Published</vt:lpwstr>
  </property>
  <property fmtid="{D5CDD505-2E9C-101B-9397-08002B2CF9AE}" pid="15" name="Objective-VersionId">
    <vt:lpwstr>vA1113122</vt:lpwstr>
  </property>
  <property fmtid="{D5CDD505-2E9C-101B-9397-08002B2CF9AE}" pid="16" name="Objective-Version">
    <vt:lpwstr>10.0</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qA13671</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