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9D024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9D0240">
        <w:rPr>
          <w:rFonts w:cs="Arial"/>
          <w:b/>
          <w:bCs/>
          <w:sz w:val="28"/>
          <w:szCs w:val="28"/>
        </w:rPr>
        <w:t>Indonesian</w:t>
      </w:r>
      <w:r w:rsidR="00C8172A">
        <w:rPr>
          <w:rFonts w:cs="Arial"/>
          <w:b/>
          <w:bCs/>
          <w:sz w:val="28"/>
          <w:szCs w:val="28"/>
        </w:rPr>
        <w:t xml:space="preserve"> </w:t>
      </w:r>
      <w:r w:rsidR="009C1F38">
        <w:rPr>
          <w:rFonts w:cs="Arial"/>
          <w:b/>
          <w:bCs/>
          <w:sz w:val="28"/>
          <w:szCs w:val="28"/>
        </w:rPr>
        <w:t>(beginners)</w:t>
      </w:r>
      <w:r w:rsidR="00573931">
        <w:rPr>
          <w:rFonts w:cs="Arial"/>
          <w:b/>
          <w:bCs/>
          <w:sz w:val="28"/>
          <w:szCs w:val="28"/>
        </w:rPr>
        <w:t xml:space="preserve"> </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D0240" w:rsidP="00BA2185">
            <w:pPr>
              <w:jc w:val="center"/>
              <w:rPr>
                <w:b/>
              </w:rPr>
            </w:pPr>
            <w:r>
              <w:rPr>
                <w:b/>
              </w:rPr>
              <w:t>I</w:t>
            </w:r>
          </w:p>
        </w:tc>
        <w:tc>
          <w:tcPr>
            <w:tcW w:w="500" w:type="dxa"/>
            <w:shd w:val="clear" w:color="auto" w:fill="auto"/>
            <w:vAlign w:val="center"/>
          </w:tcPr>
          <w:p w:rsidR="006A2B3D" w:rsidRPr="00F66744" w:rsidRDefault="009D0240" w:rsidP="00BA2185">
            <w:pPr>
              <w:jc w:val="center"/>
              <w:rPr>
                <w:b/>
              </w:rPr>
            </w:pPr>
            <w:r>
              <w:rPr>
                <w:b/>
              </w:rPr>
              <w:t>N</w:t>
            </w:r>
          </w:p>
        </w:tc>
        <w:tc>
          <w:tcPr>
            <w:tcW w:w="500" w:type="dxa"/>
            <w:shd w:val="clear" w:color="auto" w:fill="auto"/>
            <w:vAlign w:val="center"/>
          </w:tcPr>
          <w:p w:rsidR="006A2B3D" w:rsidRPr="003B2B0E" w:rsidRDefault="003E285B"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9D0240">
      <w:pPr>
        <w:pStyle w:val="LAPHeading"/>
      </w:pPr>
      <w:r w:rsidRPr="004963F3">
        <w:lastRenderedPageBreak/>
        <w:t xml:space="preserve">Stage </w:t>
      </w:r>
      <w:r>
        <w:t xml:space="preserve">1 </w:t>
      </w:r>
      <w:r w:rsidR="009D0240">
        <w:t>Indonesian</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3"/>
        <w:gridCol w:w="708"/>
        <w:gridCol w:w="709"/>
        <w:gridCol w:w="709"/>
        <w:gridCol w:w="3827"/>
      </w:tblGrid>
      <w:tr w:rsidR="00573931" w:rsidRPr="00573931" w:rsidTr="00DC7FF6">
        <w:trPr>
          <w:trHeight w:val="345"/>
          <w:tblHeader/>
        </w:trPr>
        <w:tc>
          <w:tcPr>
            <w:tcW w:w="2093"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7513" w:type="dxa"/>
            <w:vMerge w:val="restart"/>
            <w:shd w:val="clear" w:color="auto" w:fill="auto"/>
            <w:vAlign w:val="center"/>
          </w:tcPr>
          <w:p w:rsidR="00573931" w:rsidRPr="00573931" w:rsidRDefault="00573931" w:rsidP="005E06A1">
            <w:pPr>
              <w:pStyle w:val="ACLAPTableText"/>
              <w:jc w:val="center"/>
              <w:rPr>
                <w:b/>
              </w:rPr>
            </w:pPr>
            <w:r w:rsidRPr="00573931">
              <w:rPr>
                <w:b/>
              </w:rPr>
              <w:t>Details of assessment</w:t>
            </w:r>
          </w:p>
        </w:tc>
        <w:tc>
          <w:tcPr>
            <w:tcW w:w="2126"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3827"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DC7FF6">
        <w:trPr>
          <w:trHeight w:val="345"/>
          <w:tblHeader/>
        </w:trPr>
        <w:tc>
          <w:tcPr>
            <w:tcW w:w="2093" w:type="dxa"/>
            <w:vMerge/>
            <w:shd w:val="clear" w:color="auto" w:fill="auto"/>
            <w:vAlign w:val="center"/>
          </w:tcPr>
          <w:p w:rsidR="00573931" w:rsidRPr="00573931" w:rsidRDefault="00573931" w:rsidP="005E06A1">
            <w:pPr>
              <w:jc w:val="center"/>
              <w:rPr>
                <w:rFonts w:cs="Arial"/>
                <w:b/>
                <w:bCs/>
                <w:sz w:val="20"/>
                <w:szCs w:val="20"/>
                <w:lang w:val="en-US"/>
              </w:rPr>
            </w:pPr>
          </w:p>
        </w:tc>
        <w:tc>
          <w:tcPr>
            <w:tcW w:w="7513" w:type="dxa"/>
            <w:vMerge/>
            <w:shd w:val="clear" w:color="auto" w:fill="auto"/>
            <w:vAlign w:val="center"/>
          </w:tcPr>
          <w:p w:rsidR="00573931" w:rsidRPr="00573931" w:rsidRDefault="00573931" w:rsidP="005E06A1">
            <w:pPr>
              <w:jc w:val="center"/>
              <w:rPr>
                <w:rFonts w:cs="Arial"/>
                <w:b/>
                <w:bCs/>
                <w:sz w:val="20"/>
                <w:szCs w:val="20"/>
                <w:lang w:val="en-US"/>
              </w:rPr>
            </w:pPr>
          </w:p>
        </w:tc>
        <w:tc>
          <w:tcPr>
            <w:tcW w:w="708"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3827" w:type="dxa"/>
            <w:vMerge/>
            <w:shd w:val="clear" w:color="auto" w:fill="auto"/>
            <w:vAlign w:val="center"/>
          </w:tcPr>
          <w:p w:rsidR="00573931" w:rsidRPr="00573931" w:rsidRDefault="00573931" w:rsidP="005E06A1">
            <w:pPr>
              <w:rPr>
                <w:rFonts w:cs="Arial"/>
                <w:sz w:val="20"/>
                <w:szCs w:val="20"/>
                <w:lang w:val="en-US"/>
              </w:rPr>
            </w:pPr>
          </w:p>
        </w:tc>
      </w:tr>
      <w:tr w:rsidR="00573931" w:rsidRPr="00573931" w:rsidTr="00DC7FF6">
        <w:trPr>
          <w:trHeight w:val="1547"/>
        </w:trPr>
        <w:tc>
          <w:tcPr>
            <w:tcW w:w="2093"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1: Interaction</w:t>
            </w:r>
          </w:p>
          <w:p w:rsidR="00573931" w:rsidRPr="00573931" w:rsidRDefault="00573931" w:rsidP="00DC7FF6">
            <w:pPr>
              <w:pStyle w:val="LAPTableText"/>
              <w:rPr>
                <w:b/>
                <w:sz w:val="20"/>
                <w:szCs w:val="20"/>
                <w:lang w:val="en-US"/>
              </w:rPr>
            </w:pPr>
            <w:bookmarkStart w:id="0" w:name="_GoBack"/>
            <w:bookmarkEnd w:id="0"/>
          </w:p>
          <w:p w:rsidR="00573931" w:rsidRPr="00573931" w:rsidRDefault="00573931" w:rsidP="005E06A1">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50</w:t>
            </w:r>
            <w:r w:rsidRPr="00573931">
              <w:rPr>
                <w:b/>
                <w:sz w:val="20"/>
                <w:szCs w:val="20"/>
                <w:lang w:val="en-US"/>
              </w:rPr>
              <w:t>%</w:t>
            </w:r>
          </w:p>
        </w:tc>
        <w:tc>
          <w:tcPr>
            <w:tcW w:w="7513" w:type="dxa"/>
            <w:shd w:val="clear" w:color="auto" w:fill="auto"/>
            <w:vAlign w:val="center"/>
          </w:tcPr>
          <w:p w:rsidR="00573931" w:rsidRPr="00DC7FF6" w:rsidRDefault="009D0240" w:rsidP="00DC7FF6">
            <w:pPr>
              <w:pStyle w:val="ACLAPTableText"/>
              <w:rPr>
                <w:sz w:val="19"/>
                <w:szCs w:val="19"/>
              </w:rPr>
            </w:pPr>
            <w:r w:rsidRPr="00DC7FF6">
              <w:rPr>
                <w:sz w:val="19"/>
                <w:szCs w:val="19"/>
              </w:rPr>
              <w:t>Students are to imagine that they are hosting a newly arrived exchange student from Indonesia. On their first day at school in their Indonesian lesson, they are to introduce their new friend to the class using Indonesian. They detail information about their new friend’s name, age, place of birth, likes, dislikes etc. Students express their ideas using a variety of vocabulary and language structures, accurate grammar and pronunciation. The register of the presentation is appropriate to its purpose, audience and context.</w:t>
            </w:r>
          </w:p>
        </w:tc>
        <w:tc>
          <w:tcPr>
            <w:tcW w:w="708"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p>
        </w:tc>
        <w:tc>
          <w:tcPr>
            <w:tcW w:w="709"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p>
        </w:tc>
        <w:tc>
          <w:tcPr>
            <w:tcW w:w="709" w:type="dxa"/>
            <w:shd w:val="clear" w:color="auto" w:fill="auto"/>
            <w:vAlign w:val="center"/>
          </w:tcPr>
          <w:p w:rsidR="00573931" w:rsidRPr="00DC7FF6" w:rsidRDefault="00573931" w:rsidP="005E06A1">
            <w:pPr>
              <w:pStyle w:val="ACLAPTableText"/>
              <w:rPr>
                <w:sz w:val="19"/>
                <w:szCs w:val="19"/>
                <w:lang w:val="en-US"/>
              </w:rPr>
            </w:pPr>
          </w:p>
        </w:tc>
        <w:tc>
          <w:tcPr>
            <w:tcW w:w="3827" w:type="dxa"/>
            <w:shd w:val="clear" w:color="auto" w:fill="auto"/>
          </w:tcPr>
          <w:p w:rsidR="009D0240" w:rsidRPr="00DC7FF6" w:rsidRDefault="009D0240" w:rsidP="009D0240">
            <w:pPr>
              <w:spacing w:before="40" w:after="40"/>
              <w:rPr>
                <w:rFonts w:eastAsiaTheme="minorHAnsi" w:cstheme="minorBidi"/>
                <w:sz w:val="19"/>
                <w:szCs w:val="19"/>
              </w:rPr>
            </w:pPr>
            <w:r w:rsidRPr="00DC7FF6">
              <w:rPr>
                <w:rFonts w:eastAsiaTheme="minorHAnsi" w:cstheme="minorBidi"/>
                <w:sz w:val="19"/>
                <w:szCs w:val="19"/>
              </w:rPr>
              <w:t>Oral: approximately 2 minutes.</w:t>
            </w:r>
          </w:p>
          <w:p w:rsidR="00573931" w:rsidRPr="00DC7FF6" w:rsidRDefault="009D0240" w:rsidP="009D0240">
            <w:pPr>
              <w:spacing w:before="40" w:after="40"/>
              <w:rPr>
                <w:sz w:val="19"/>
                <w:szCs w:val="19"/>
              </w:rPr>
            </w:pPr>
            <w:r w:rsidRPr="00DC7FF6">
              <w:rPr>
                <w:rFonts w:eastAsiaTheme="minorHAnsi" w:cstheme="minorBidi"/>
                <w:sz w:val="19"/>
                <w:szCs w:val="19"/>
              </w:rPr>
              <w:t>Students may use objects, visual cues, cue cards, or multimedia, and may refer to approved key words or headings in the presentation. The presentation must not be read from a script.</w:t>
            </w:r>
          </w:p>
        </w:tc>
      </w:tr>
      <w:tr w:rsidR="00573931" w:rsidRPr="00573931" w:rsidTr="00DC7FF6">
        <w:trPr>
          <w:trHeight w:val="1683"/>
        </w:trPr>
        <w:tc>
          <w:tcPr>
            <w:tcW w:w="2093" w:type="dxa"/>
            <w:vMerge/>
            <w:shd w:val="clear" w:color="auto" w:fill="auto"/>
            <w:vAlign w:val="center"/>
          </w:tcPr>
          <w:p w:rsidR="00573931" w:rsidRPr="00573931" w:rsidRDefault="00573931" w:rsidP="005E06A1">
            <w:pPr>
              <w:pStyle w:val="LAPTableText"/>
              <w:jc w:val="center"/>
              <w:rPr>
                <w:b/>
                <w:sz w:val="20"/>
                <w:szCs w:val="20"/>
                <w:lang w:val="en-US"/>
              </w:rPr>
            </w:pPr>
          </w:p>
        </w:tc>
        <w:tc>
          <w:tcPr>
            <w:tcW w:w="7513" w:type="dxa"/>
            <w:shd w:val="clear" w:color="auto" w:fill="auto"/>
            <w:vAlign w:val="center"/>
          </w:tcPr>
          <w:p w:rsidR="00573931" w:rsidRPr="00DC7FF6" w:rsidRDefault="009D0240" w:rsidP="00DC7FF6">
            <w:pPr>
              <w:pStyle w:val="ACLAPTableText"/>
              <w:rPr>
                <w:sz w:val="19"/>
                <w:szCs w:val="19"/>
              </w:rPr>
            </w:pPr>
            <w:r w:rsidRPr="00DC7FF6">
              <w:rPr>
                <w:sz w:val="19"/>
                <w:szCs w:val="19"/>
              </w:rPr>
              <w:t>Students have a conversation with their teacher about their experience hosting an Indonesian exchange student. They respond to questions about what they did, where they went, how they felt about hosting an Indonesian person and a range of other topics/issues. Students express their ideas using a variety of vocabulary and language structures, accurate grammar and pronunciation. They demonstrate their ability to comprehend rehearsed questions, or ask in Indonesian for clarification or repetition. The register of the conversation is appropriate to purpose, audience and context.</w:t>
            </w:r>
          </w:p>
        </w:tc>
        <w:tc>
          <w:tcPr>
            <w:tcW w:w="708"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p>
        </w:tc>
        <w:tc>
          <w:tcPr>
            <w:tcW w:w="709"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r w:rsidR="009D0240" w:rsidRPr="00DC7FF6">
              <w:rPr>
                <w:sz w:val="19"/>
                <w:szCs w:val="19"/>
                <w:lang w:val="en-US"/>
              </w:rPr>
              <w:t>,3</w:t>
            </w:r>
          </w:p>
        </w:tc>
        <w:tc>
          <w:tcPr>
            <w:tcW w:w="709" w:type="dxa"/>
            <w:shd w:val="clear" w:color="auto" w:fill="auto"/>
            <w:vAlign w:val="center"/>
          </w:tcPr>
          <w:p w:rsidR="00573931" w:rsidRPr="00DC7FF6" w:rsidRDefault="00573931" w:rsidP="005E06A1">
            <w:pPr>
              <w:pStyle w:val="ACLAPTableText"/>
              <w:rPr>
                <w:sz w:val="19"/>
                <w:szCs w:val="19"/>
                <w:lang w:val="en-US"/>
              </w:rPr>
            </w:pPr>
          </w:p>
        </w:tc>
        <w:tc>
          <w:tcPr>
            <w:tcW w:w="3827" w:type="dxa"/>
            <w:shd w:val="clear" w:color="auto" w:fill="auto"/>
          </w:tcPr>
          <w:p w:rsidR="009D0240" w:rsidRPr="00DC7FF6" w:rsidRDefault="009D0240" w:rsidP="009D0240">
            <w:pPr>
              <w:spacing w:before="40" w:after="40"/>
              <w:rPr>
                <w:rFonts w:eastAsiaTheme="minorHAnsi" w:cstheme="minorBidi"/>
                <w:sz w:val="19"/>
                <w:szCs w:val="19"/>
              </w:rPr>
            </w:pPr>
            <w:r w:rsidRPr="00DC7FF6">
              <w:rPr>
                <w:rFonts w:eastAsiaTheme="minorHAnsi" w:cstheme="minorBidi"/>
                <w:sz w:val="19"/>
                <w:szCs w:val="19"/>
              </w:rPr>
              <w:t>Oral: 2-3 minute conversation.</w:t>
            </w:r>
          </w:p>
          <w:p w:rsidR="009D0240" w:rsidRPr="00DC7FF6" w:rsidRDefault="009D0240" w:rsidP="009D0240">
            <w:pPr>
              <w:spacing w:before="40" w:after="40"/>
              <w:rPr>
                <w:rFonts w:eastAsiaTheme="minorHAnsi" w:cstheme="minorBidi"/>
                <w:sz w:val="19"/>
                <w:szCs w:val="19"/>
              </w:rPr>
            </w:pPr>
            <w:r w:rsidRPr="00DC7FF6">
              <w:rPr>
                <w:rFonts w:eastAsiaTheme="minorHAnsi" w:cstheme="minorBidi"/>
                <w:sz w:val="19"/>
                <w:szCs w:val="19"/>
              </w:rPr>
              <w:t xml:space="preserve">Prepared but not scripted.  </w:t>
            </w:r>
          </w:p>
          <w:p w:rsidR="00573931" w:rsidRPr="00DC7FF6" w:rsidRDefault="009D0240" w:rsidP="009D0240">
            <w:pPr>
              <w:rPr>
                <w:sz w:val="19"/>
                <w:szCs w:val="19"/>
              </w:rPr>
            </w:pPr>
            <w:r w:rsidRPr="00DC7FF6">
              <w:rPr>
                <w:rFonts w:eastAsiaTheme="minorHAnsi" w:cstheme="minorBidi"/>
                <w:sz w:val="19"/>
                <w:szCs w:val="19"/>
              </w:rPr>
              <w:t>Visual objects may be used.</w:t>
            </w:r>
          </w:p>
        </w:tc>
      </w:tr>
      <w:tr w:rsidR="00573931" w:rsidRPr="00573931" w:rsidTr="00DC7FF6">
        <w:trPr>
          <w:trHeight w:val="1551"/>
        </w:trPr>
        <w:tc>
          <w:tcPr>
            <w:tcW w:w="2093"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2: Text Production</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513" w:type="dxa"/>
            <w:shd w:val="clear" w:color="auto" w:fill="auto"/>
            <w:vAlign w:val="center"/>
          </w:tcPr>
          <w:p w:rsidR="00573931" w:rsidRPr="00DC7FF6" w:rsidRDefault="009D0240" w:rsidP="00DC7FF6">
            <w:pPr>
              <w:pStyle w:val="ACLAPTableText"/>
              <w:rPr>
                <w:sz w:val="19"/>
                <w:szCs w:val="19"/>
              </w:rPr>
            </w:pPr>
            <w:r w:rsidRPr="00DC7FF6">
              <w:rPr>
                <w:sz w:val="19"/>
                <w:szCs w:val="19"/>
              </w:rPr>
              <w:t>Students write an application to enter a competition to appear in a reality TV program of their choosing. They provide personal information about themselves, their interests and their abilities to persuade the judging panel to select them as the winning entrant. They express their ideas using appropriate application-writing conventions, a variety of vocabulary and language structures, accurate spelling and grammar. The register of the application is appropriate to its purpose, audience and context.</w:t>
            </w:r>
          </w:p>
        </w:tc>
        <w:tc>
          <w:tcPr>
            <w:tcW w:w="708"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p>
        </w:tc>
        <w:tc>
          <w:tcPr>
            <w:tcW w:w="709"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w:t>
            </w:r>
          </w:p>
        </w:tc>
        <w:tc>
          <w:tcPr>
            <w:tcW w:w="709" w:type="dxa"/>
            <w:shd w:val="clear" w:color="auto" w:fill="auto"/>
            <w:vAlign w:val="center"/>
          </w:tcPr>
          <w:p w:rsidR="00573931" w:rsidRPr="00DC7FF6" w:rsidRDefault="00573931" w:rsidP="005E06A1">
            <w:pPr>
              <w:pStyle w:val="ACLAPTableText"/>
              <w:rPr>
                <w:sz w:val="19"/>
                <w:szCs w:val="19"/>
                <w:lang w:val="en-US"/>
              </w:rPr>
            </w:pPr>
          </w:p>
        </w:tc>
        <w:tc>
          <w:tcPr>
            <w:tcW w:w="3827" w:type="dxa"/>
            <w:shd w:val="clear" w:color="auto" w:fill="auto"/>
          </w:tcPr>
          <w:p w:rsidR="009D0240" w:rsidRPr="00DC7FF6" w:rsidRDefault="009D0240" w:rsidP="009D0240">
            <w:pPr>
              <w:spacing w:before="40" w:after="40"/>
              <w:rPr>
                <w:rFonts w:eastAsiaTheme="minorHAnsi" w:cstheme="minorBidi"/>
                <w:sz w:val="19"/>
                <w:szCs w:val="19"/>
              </w:rPr>
            </w:pPr>
            <w:r w:rsidRPr="00DC7FF6">
              <w:rPr>
                <w:rFonts w:eastAsiaTheme="minorHAnsi" w:cstheme="minorBidi"/>
                <w:sz w:val="19"/>
                <w:szCs w:val="19"/>
              </w:rPr>
              <w:t>Written: approximately 150 words.</w:t>
            </w:r>
          </w:p>
          <w:p w:rsidR="009D0240" w:rsidRPr="00DC7FF6" w:rsidRDefault="009D0240" w:rsidP="009D0240">
            <w:pPr>
              <w:spacing w:before="40" w:after="40"/>
              <w:rPr>
                <w:sz w:val="19"/>
                <w:szCs w:val="19"/>
              </w:rPr>
            </w:pPr>
            <w:r w:rsidRPr="00DC7FF6">
              <w:rPr>
                <w:rFonts w:eastAsiaTheme="minorHAnsi" w:cstheme="minorBidi"/>
                <w:sz w:val="19"/>
                <w:szCs w:val="19"/>
              </w:rPr>
              <w:t xml:space="preserve">5 lessons in class to </w:t>
            </w:r>
            <w:proofErr w:type="gramStart"/>
            <w:r w:rsidRPr="00DC7FF6">
              <w:rPr>
                <w:rFonts w:eastAsiaTheme="minorHAnsi" w:cstheme="minorBidi"/>
                <w:sz w:val="19"/>
                <w:szCs w:val="19"/>
              </w:rPr>
              <w:t>plan,</w:t>
            </w:r>
            <w:proofErr w:type="gramEnd"/>
            <w:r w:rsidRPr="00DC7FF6">
              <w:rPr>
                <w:rFonts w:eastAsiaTheme="minorHAnsi" w:cstheme="minorBidi"/>
                <w:sz w:val="19"/>
                <w:szCs w:val="19"/>
              </w:rPr>
              <w:t xml:space="preserve"> draft and finalise their text production. </w:t>
            </w:r>
          </w:p>
          <w:p w:rsidR="00573931" w:rsidRPr="00DC7FF6" w:rsidRDefault="00573931" w:rsidP="00C8172A">
            <w:pPr>
              <w:pStyle w:val="ACLAPTableText"/>
              <w:rPr>
                <w:sz w:val="19"/>
                <w:szCs w:val="19"/>
              </w:rPr>
            </w:pPr>
          </w:p>
        </w:tc>
      </w:tr>
      <w:tr w:rsidR="00573931" w:rsidRPr="00573931" w:rsidTr="00DC7FF6">
        <w:trPr>
          <w:trHeight w:val="1559"/>
        </w:trPr>
        <w:tc>
          <w:tcPr>
            <w:tcW w:w="2093"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3: Text Analysis</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513" w:type="dxa"/>
            <w:shd w:val="clear" w:color="auto" w:fill="auto"/>
            <w:vAlign w:val="center"/>
          </w:tcPr>
          <w:p w:rsidR="00573931" w:rsidRPr="00DC7FF6" w:rsidRDefault="009D0240" w:rsidP="00DC7FF6">
            <w:pPr>
              <w:pStyle w:val="ACLAPTableText"/>
              <w:rPr>
                <w:sz w:val="19"/>
                <w:szCs w:val="19"/>
              </w:rPr>
            </w:pPr>
            <w:r w:rsidRPr="00DC7FF6">
              <w:rPr>
                <w:sz w:val="19"/>
                <w:szCs w:val="19"/>
              </w:rPr>
              <w:t>Students analyse and interpret a number of Indonesian advertisements related to teenage lifestyles. They demonstrate their understanding of the texts by responding to questions in English. Students comment on cultural and linguistic features of the text, and reflect on ways in which Indonesian culture, values and practices are represented in the text, as well as on their own values and practices in relation to those expressed in the texts.</w:t>
            </w:r>
          </w:p>
        </w:tc>
        <w:tc>
          <w:tcPr>
            <w:tcW w:w="708" w:type="dxa"/>
            <w:shd w:val="clear" w:color="auto" w:fill="auto"/>
            <w:vAlign w:val="center"/>
          </w:tcPr>
          <w:p w:rsidR="00573931" w:rsidRPr="00DC7FF6" w:rsidRDefault="00573931" w:rsidP="005E06A1">
            <w:pPr>
              <w:pStyle w:val="ACLAPTableText"/>
              <w:rPr>
                <w:sz w:val="19"/>
                <w:szCs w:val="19"/>
                <w:lang w:val="en-US"/>
              </w:rPr>
            </w:pPr>
          </w:p>
        </w:tc>
        <w:tc>
          <w:tcPr>
            <w:tcW w:w="709" w:type="dxa"/>
            <w:shd w:val="clear" w:color="auto" w:fill="auto"/>
            <w:vAlign w:val="center"/>
          </w:tcPr>
          <w:p w:rsidR="00573931" w:rsidRPr="00DC7FF6" w:rsidRDefault="00573931" w:rsidP="005E06A1">
            <w:pPr>
              <w:pStyle w:val="ACLAPTableText"/>
              <w:rPr>
                <w:sz w:val="19"/>
                <w:szCs w:val="19"/>
                <w:lang w:val="en-US"/>
              </w:rPr>
            </w:pPr>
          </w:p>
        </w:tc>
        <w:tc>
          <w:tcPr>
            <w:tcW w:w="709" w:type="dxa"/>
            <w:shd w:val="clear" w:color="auto" w:fill="auto"/>
            <w:vAlign w:val="center"/>
          </w:tcPr>
          <w:p w:rsidR="00573931" w:rsidRPr="00DC7FF6" w:rsidRDefault="003E285B" w:rsidP="003E285B">
            <w:pPr>
              <w:pStyle w:val="ACLAPTableText"/>
              <w:jc w:val="center"/>
              <w:rPr>
                <w:sz w:val="19"/>
                <w:szCs w:val="19"/>
                <w:lang w:val="en-US"/>
              </w:rPr>
            </w:pPr>
            <w:r w:rsidRPr="00DC7FF6">
              <w:rPr>
                <w:sz w:val="19"/>
                <w:szCs w:val="19"/>
                <w:lang w:val="en-US"/>
              </w:rPr>
              <w:t>1,2,3</w:t>
            </w:r>
          </w:p>
        </w:tc>
        <w:tc>
          <w:tcPr>
            <w:tcW w:w="3827" w:type="dxa"/>
            <w:shd w:val="clear" w:color="auto" w:fill="auto"/>
          </w:tcPr>
          <w:p w:rsidR="009D0240" w:rsidRPr="00DC7FF6" w:rsidRDefault="009D0240" w:rsidP="009D0240">
            <w:pPr>
              <w:spacing w:before="40" w:after="40"/>
              <w:rPr>
                <w:rFonts w:eastAsiaTheme="minorHAnsi" w:cstheme="minorBidi"/>
                <w:sz w:val="19"/>
                <w:szCs w:val="19"/>
              </w:rPr>
            </w:pPr>
            <w:r w:rsidRPr="00DC7FF6">
              <w:rPr>
                <w:rFonts w:eastAsiaTheme="minorHAnsi" w:cstheme="minorBidi"/>
                <w:sz w:val="19"/>
                <w:szCs w:val="19"/>
              </w:rPr>
              <w:t>80 minutes supervised.</w:t>
            </w:r>
          </w:p>
          <w:p w:rsidR="00573931" w:rsidRPr="00DC7FF6" w:rsidRDefault="009D0240" w:rsidP="009D0240">
            <w:pPr>
              <w:spacing w:before="40" w:after="40"/>
              <w:rPr>
                <w:sz w:val="19"/>
                <w:szCs w:val="19"/>
              </w:rPr>
            </w:pPr>
            <w:r w:rsidRPr="00DC7FF6">
              <w:rPr>
                <w:rFonts w:eastAsiaTheme="minorHAnsi" w:cstheme="minorBidi"/>
                <w:sz w:val="19"/>
                <w:szCs w:val="19"/>
              </w:rPr>
              <w:t>In class with approved bilingual dictionary support.</w:t>
            </w:r>
          </w:p>
        </w:tc>
      </w:tr>
    </w:tbl>
    <w:p w:rsidR="002A53B7" w:rsidRPr="00A45A49" w:rsidRDefault="002A53B7" w:rsidP="002A53B7"/>
    <w:p w:rsidR="00573931" w:rsidRPr="000B27F6" w:rsidRDefault="00573931" w:rsidP="00D178C6">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9D0240">
        <w:rPr>
          <w:rFonts w:cs="Arial"/>
          <w:i/>
          <w:iCs/>
          <w:sz w:val="20"/>
          <w:szCs w:val="20"/>
          <w:lang w:val="en-US"/>
        </w:rPr>
        <w:t xml:space="preserve">Interstate Assessed Languages </w:t>
      </w:r>
      <w:r>
        <w:rPr>
          <w:rFonts w:cs="Arial"/>
          <w:i/>
          <w:iCs/>
          <w:sz w:val="20"/>
          <w:szCs w:val="20"/>
          <w:lang w:val="en-US"/>
        </w:rPr>
        <w:t>Beginners Level Subject O</w:t>
      </w:r>
      <w:r w:rsidRPr="004963F3">
        <w:rPr>
          <w:rFonts w:cs="Arial"/>
          <w:i/>
          <w:iCs/>
          <w:sz w:val="20"/>
          <w:szCs w:val="20"/>
          <w:lang w:val="en-US"/>
        </w:rPr>
        <w:t>utline.</w:t>
      </w:r>
    </w:p>
    <w:sectPr w:rsidR="00573931" w:rsidRPr="000B27F6" w:rsidSect="00DC7FF6">
      <w:headerReference w:type="first" r:id="rId11"/>
      <w:footerReference w:type="first" r:id="rId12"/>
      <w:pgSz w:w="16838" w:h="11906" w:orient="landscape" w:code="237"/>
      <w:pgMar w:top="567" w:right="567" w:bottom="567" w:left="567" w:header="284"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5F" w:rsidRDefault="00BB505F">
      <w:r>
        <w:separator/>
      </w:r>
    </w:p>
  </w:endnote>
  <w:endnote w:type="continuationSeparator" w:id="0">
    <w:p w:rsidR="00BB505F" w:rsidRDefault="00BB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DC7FF6">
      <w:rPr>
        <w:noProof/>
      </w:rPr>
      <w:t>1</w:t>
    </w:r>
    <w:r w:rsidRPr="00D732EE">
      <w:fldChar w:fldCharType="end"/>
    </w:r>
    <w:r w:rsidRPr="00D732EE">
      <w:t xml:space="preserve"> of </w:t>
    </w:r>
    <w:fldSimple w:instr=" NUMPAGES  \* MERGEFORMAT ">
      <w:r w:rsidR="00DC7FF6">
        <w:rPr>
          <w:noProof/>
        </w:rPr>
        <w:t>2</w:t>
      </w:r>
    </w:fldSimple>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DC7FF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C7FF6">
      <w:rPr>
        <w:noProof/>
      </w:rPr>
      <w:t>2</w:t>
    </w:r>
    <w:r w:rsidRPr="00D128A8">
      <w:fldChar w:fldCharType="end"/>
    </w:r>
    <w:r>
      <w:rPr>
        <w:sz w:val="18"/>
      </w:rPr>
      <w:tab/>
    </w:r>
    <w:r>
      <w:t xml:space="preserve">Stage 1 </w:t>
    </w:r>
    <w:r w:rsidR="00DC7FF6">
      <w:t>Indonesian</w:t>
    </w:r>
    <w:r w:rsidR="009C1F38">
      <w:t xml:space="preserve"> (beginners)</w:t>
    </w:r>
    <w:r>
      <w:t xml:space="preserve"> pre-approved </w:t>
    </w:r>
    <w:r w:rsidR="00DC7FF6">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E8002B">
        <w:t>A597239</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DC7FF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C7FF6">
      <w:rPr>
        <w:noProof/>
      </w:rPr>
      <w:t>2</w:t>
    </w:r>
    <w:r w:rsidRPr="00D128A8">
      <w:fldChar w:fldCharType="end"/>
    </w:r>
    <w:r>
      <w:rPr>
        <w:sz w:val="18"/>
      </w:rPr>
      <w:tab/>
    </w:r>
    <w:r w:rsidR="00DC7FF6">
      <w:t>Stage 1 Indonesian (beginners)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E8002B">
        <w:t>A597239</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5F" w:rsidRDefault="00BB505F">
      <w:r>
        <w:separator/>
      </w:r>
    </w:p>
  </w:footnote>
  <w:footnote w:type="continuationSeparator" w:id="0">
    <w:p w:rsidR="00BB505F" w:rsidRDefault="00BB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85B"/>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3D0"/>
    <w:rsid w:val="004E18D1"/>
    <w:rsid w:val="004F44CC"/>
    <w:rsid w:val="00503362"/>
    <w:rsid w:val="005068CA"/>
    <w:rsid w:val="00511F01"/>
    <w:rsid w:val="00523C7B"/>
    <w:rsid w:val="00526FC7"/>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8F6CD3"/>
    <w:rsid w:val="009026EC"/>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0240"/>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B505F"/>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172A"/>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178C6"/>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C7FF6"/>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02B"/>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 w:val="00FF7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72DD-593C-4FC0-8236-725571E5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5</cp:revision>
  <cp:lastPrinted>2015-09-01T21:53:00Z</cp:lastPrinted>
  <dcterms:created xsi:type="dcterms:W3CDTF">2016-12-15T05:27:00Z</dcterms:created>
  <dcterms:modified xsi:type="dcterms:W3CDTF">2017-01-11T02:34:00Z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A597239</vt:lpwstr>
  </property>
  <property fmtid="{D5CDD505-2E9C-101B-9397-08002B2CF9AE}" pid="3" name="Objective-Title">
    <vt:lpwstr>Indonesian (beginners) LAP 1 2017</vt:lpwstr>
  </property>
  <property fmtid="{D5CDD505-2E9C-101B-9397-08002B2CF9AE}" pid="4" name="Objective-Comment">
    <vt:lpwstr/>
  </property>
  <property fmtid="{D5CDD505-2E9C-101B-9397-08002B2CF9AE}" pid="5" name="Objective-CreationStamp">
    <vt:filetime>2016-12-19T03:41:45Z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2016-12-19T04:52:09Z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