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7777777" w:rsidR="00FF5B14" w:rsidRPr="00391186" w:rsidRDefault="00A323DB" w:rsidP="00111A42">
      <w:pPr>
        <w:pStyle w:val="Subtitle"/>
        <w:spacing w:before="240"/>
      </w:pPr>
      <w:r w:rsidRPr="00391186">
        <w:t>Stage 2</w:t>
      </w:r>
      <w:r w:rsidR="00394717" w:rsidRPr="00391186">
        <w:t xml:space="preserve"> Indonesian</w:t>
      </w:r>
      <w:r w:rsidR="00977665" w:rsidRPr="00391186">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00111A42">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00111A42">
        <w:trPr>
          <w:trHeight w:val="307"/>
        </w:trPr>
        <w:tc>
          <w:tcPr>
            <w:tcW w:w="1843" w:type="dxa"/>
            <w:gridSpan w:val="3"/>
            <w:vMerge/>
            <w:shd w:val="clear" w:color="auto" w:fill="auto"/>
          </w:tcPr>
          <w:p w14:paraId="34312838" w14:textId="77777777" w:rsidR="00153C12" w:rsidRPr="00391186" w:rsidRDefault="00153C12" w:rsidP="00A44DC9">
            <w:pPr>
              <w:pStyle w:val="LAPTableText"/>
            </w:pPr>
          </w:p>
        </w:tc>
        <w:tc>
          <w:tcPr>
            <w:tcW w:w="425" w:type="dxa"/>
            <w:vMerge/>
            <w:tcBorders>
              <w:bottom w:val="nil"/>
            </w:tcBorders>
            <w:shd w:val="clear" w:color="auto" w:fill="auto"/>
          </w:tcPr>
          <w:p w14:paraId="5CE0B253" w14:textId="77777777" w:rsidR="00153C12" w:rsidRPr="00391186" w:rsidRDefault="00153C12" w:rsidP="00A44DC9">
            <w:pPr>
              <w:pStyle w:val="LAPTableText"/>
            </w:pPr>
          </w:p>
        </w:tc>
        <w:tc>
          <w:tcPr>
            <w:tcW w:w="1276" w:type="dxa"/>
            <w:vMerge/>
            <w:shd w:val="clear" w:color="auto" w:fill="auto"/>
          </w:tcPr>
          <w:p w14:paraId="33260D05" w14:textId="77777777" w:rsidR="00153C12" w:rsidRPr="00391186" w:rsidRDefault="00153C12" w:rsidP="00A44DC9">
            <w:pPr>
              <w:pStyle w:val="LAPTableText"/>
            </w:pPr>
          </w:p>
        </w:tc>
        <w:tc>
          <w:tcPr>
            <w:tcW w:w="425" w:type="dxa"/>
            <w:vMerge/>
            <w:tcBorders>
              <w:bottom w:val="nil"/>
            </w:tcBorders>
            <w:shd w:val="clear" w:color="auto" w:fill="auto"/>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Borders>
              <w:bottom w:val="nil"/>
            </w:tcBorders>
            <w:shd w:val="clear" w:color="auto" w:fill="auto"/>
          </w:tcPr>
          <w:p w14:paraId="60BCA9E7" w14:textId="77777777" w:rsidR="00153C12" w:rsidRPr="00391186" w:rsidRDefault="00153C12" w:rsidP="00A44DC9">
            <w:pPr>
              <w:pStyle w:val="LAPTableText"/>
            </w:pPr>
          </w:p>
        </w:tc>
        <w:tc>
          <w:tcPr>
            <w:tcW w:w="1134" w:type="dxa"/>
            <w:vMerge/>
            <w:shd w:val="clear" w:color="auto" w:fill="auto"/>
          </w:tcPr>
          <w:p w14:paraId="40CEEFA4" w14:textId="77777777" w:rsidR="00153C12" w:rsidRPr="00391186" w:rsidRDefault="00153C12" w:rsidP="00A44DC9">
            <w:pPr>
              <w:pStyle w:val="LAPTableText"/>
            </w:pPr>
          </w:p>
        </w:tc>
      </w:tr>
      <w:tr w:rsidR="00391186" w:rsidRPr="00391186" w14:paraId="648204CE" w14:textId="77777777" w:rsidTr="00111A42">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tcBorders>
              <w:bottom w:val="nil"/>
            </w:tcBorders>
            <w:shd w:val="clear" w:color="auto" w:fill="auto"/>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tcBorders>
              <w:bottom w:val="nil"/>
            </w:tcBorders>
            <w:shd w:val="clear" w:color="auto" w:fill="auto"/>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77777777" w:rsidR="00153C12" w:rsidRPr="00391186" w:rsidRDefault="00394717" w:rsidP="00A44DC9">
            <w:pPr>
              <w:pStyle w:val="LAPTableText"/>
              <w:jc w:val="center"/>
              <w:rPr>
                <w:rFonts w:ascii="Roboto" w:hAnsi="Roboto"/>
                <w:b/>
                <w:sz w:val="20"/>
              </w:rPr>
            </w:pPr>
            <w:r w:rsidRPr="00391186">
              <w:rPr>
                <w:rFonts w:ascii="Roboto" w:hAnsi="Roboto"/>
                <w:b/>
                <w:sz w:val="20"/>
              </w:rPr>
              <w:t>I</w:t>
            </w:r>
          </w:p>
        </w:tc>
        <w:tc>
          <w:tcPr>
            <w:tcW w:w="662" w:type="dxa"/>
            <w:shd w:val="clear" w:color="auto" w:fill="auto"/>
            <w:vAlign w:val="center"/>
          </w:tcPr>
          <w:p w14:paraId="1E46B79C" w14:textId="77777777" w:rsidR="00153C12" w:rsidRPr="00391186" w:rsidRDefault="00394717" w:rsidP="00A44DC9">
            <w:pPr>
              <w:pStyle w:val="LAPTableText"/>
              <w:jc w:val="center"/>
              <w:rPr>
                <w:rFonts w:ascii="Roboto" w:hAnsi="Roboto"/>
                <w:b/>
                <w:sz w:val="20"/>
              </w:rPr>
            </w:pPr>
            <w:r w:rsidRPr="00391186">
              <w:rPr>
                <w:rFonts w:ascii="Roboto" w:hAnsi="Roboto"/>
                <w:b/>
                <w:sz w:val="20"/>
              </w:rPr>
              <w:t>N</w:t>
            </w:r>
          </w:p>
        </w:tc>
        <w:tc>
          <w:tcPr>
            <w:tcW w:w="662" w:type="dxa"/>
            <w:shd w:val="clear" w:color="auto" w:fill="auto"/>
            <w:vAlign w:val="center"/>
          </w:tcPr>
          <w:p w14:paraId="19FE8C87" w14:textId="77777777" w:rsidR="00153C12" w:rsidRPr="00391186" w:rsidRDefault="00394717" w:rsidP="00A44DC9">
            <w:pPr>
              <w:pStyle w:val="LAPTableText"/>
              <w:jc w:val="center"/>
              <w:rPr>
                <w:rFonts w:ascii="Roboto" w:hAnsi="Roboto"/>
                <w:b/>
                <w:sz w:val="20"/>
              </w:rPr>
            </w:pPr>
            <w:r w:rsidRPr="00391186">
              <w:rPr>
                <w:rFonts w:ascii="Roboto" w:hAnsi="Roboto"/>
                <w:b/>
                <w:sz w:val="20"/>
              </w:rPr>
              <w:t>C</w:t>
            </w: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tcBorders>
              <w:bottom w:val="nil"/>
            </w:tcBorders>
            <w:shd w:val="clear" w:color="auto" w:fill="auto"/>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5D8AB198" w14:textId="77777777" w:rsidR="00153C12" w:rsidRPr="00391186" w:rsidRDefault="00153C12" w:rsidP="00111A42">
            <w:pPr>
              <w:spacing w:after="0"/>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294FC667" w14:textId="77777777" w:rsidR="00153C12" w:rsidRPr="00391186" w:rsidRDefault="00153C12" w:rsidP="00111A42">
            <w:pPr>
              <w:spacing w:after="0"/>
              <w:rPr>
                <w:lang w:val="en-US"/>
              </w:rPr>
            </w:pPr>
          </w:p>
        </w:tc>
      </w:tr>
    </w:tbl>
    <w:p w14:paraId="34ECDD32" w14:textId="77777777" w:rsidR="00FF5B14" w:rsidRPr="00391186" w:rsidRDefault="00FF5B14" w:rsidP="009B7824">
      <w:pPr>
        <w:rPr>
          <w:sz w:val="28"/>
          <w:szCs w:val="28"/>
        </w:rPr>
        <w:sectPr w:rsidR="00FF5B14" w:rsidRPr="00391186"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7DEE8A5F" w14:textId="77777777" w:rsidR="00483E68" w:rsidRPr="00391186" w:rsidRDefault="00483E68" w:rsidP="004C0E19">
      <w:pPr>
        <w:pStyle w:val="Heading1"/>
        <w:spacing w:after="240"/>
        <w:rPr>
          <w:rFonts w:eastAsia="SimSun"/>
          <w:lang w:val="en-US"/>
        </w:rPr>
      </w:pPr>
      <w:r w:rsidRPr="00391186">
        <w:rPr>
          <w:rFonts w:eastAsia="SimSun"/>
          <w:lang w:val="en-US"/>
        </w:rPr>
        <w:lastRenderedPageBreak/>
        <w:t xml:space="preserve">Assessment </w:t>
      </w:r>
      <w:r w:rsidR="005D1617" w:rsidRPr="00391186">
        <w:rPr>
          <w:rFonts w:eastAsia="SimSun"/>
          <w:lang w:val="en-US"/>
        </w:rPr>
        <w:t>o</w:t>
      </w:r>
      <w:r w:rsidRPr="00391186">
        <w:rPr>
          <w:rFonts w:eastAsia="SimSun"/>
          <w:lang w:val="en-US"/>
        </w:rPr>
        <w:t>verview</w:t>
      </w:r>
    </w:p>
    <w:p w14:paraId="433F5C17" w14:textId="7777777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Indonesian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The table below provides details of the planned tasks and shows where students have the opportunity to provide evidence for each of the specific features of all of the assessment design criteria.</w:t>
      </w:r>
    </w:p>
    <w:p w14:paraId="156B8B63" w14:textId="77777777"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080"/>
        <w:gridCol w:w="661"/>
        <w:gridCol w:w="662"/>
        <w:gridCol w:w="662"/>
        <w:gridCol w:w="3141"/>
      </w:tblGrid>
      <w:tr w:rsidR="00391186" w:rsidRPr="00391186" w14:paraId="60FD55CA" w14:textId="77777777" w:rsidTr="001B3331">
        <w:trPr>
          <w:trHeight w:val="397"/>
        </w:trPr>
        <w:tc>
          <w:tcPr>
            <w:tcW w:w="5080"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1985"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3141"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(e.g. task type, word length, time allocated, supervision)</w:t>
            </w:r>
          </w:p>
        </w:tc>
      </w:tr>
      <w:tr w:rsidR="00391186" w:rsidRPr="00391186" w14:paraId="2B621731" w14:textId="77777777" w:rsidTr="001B3331">
        <w:trPr>
          <w:trHeight w:val="61"/>
        </w:trPr>
        <w:tc>
          <w:tcPr>
            <w:tcW w:w="5080" w:type="dxa"/>
            <w:vMerge/>
            <w:shd w:val="clear" w:color="auto" w:fill="D9D9D9" w:themeFill="background1" w:themeFillShade="D9"/>
            <w:vAlign w:val="center"/>
          </w:tcPr>
          <w:p w14:paraId="71D1223D" w14:textId="77777777" w:rsidR="00977665" w:rsidRPr="00391186" w:rsidRDefault="00977665" w:rsidP="00103D79">
            <w:pPr>
              <w:pStyle w:val="SOTableText"/>
              <w:rPr>
                <w:i/>
              </w:rPr>
            </w:pPr>
          </w:p>
        </w:tc>
        <w:tc>
          <w:tcPr>
            <w:tcW w:w="661" w:type="dxa"/>
            <w:shd w:val="clear" w:color="auto" w:fill="D9D9D9" w:themeFill="background1" w:themeFillShade="D9"/>
            <w:vAlign w:val="center"/>
          </w:tcPr>
          <w:p w14:paraId="7F1B61A9" w14:textId="77777777" w:rsidR="00977665" w:rsidRPr="00391186" w:rsidRDefault="00977665" w:rsidP="006B32DC">
            <w:pPr>
              <w:pStyle w:val="SOTableHeadings"/>
              <w:jc w:val="center"/>
            </w:pPr>
            <w:r w:rsidRPr="00391186">
              <w:t>I</w:t>
            </w:r>
          </w:p>
        </w:tc>
        <w:tc>
          <w:tcPr>
            <w:tcW w:w="662" w:type="dxa"/>
            <w:shd w:val="clear" w:color="auto" w:fill="D9D9D9" w:themeFill="background1" w:themeFillShade="D9"/>
            <w:vAlign w:val="center"/>
          </w:tcPr>
          <w:p w14:paraId="587E98FD" w14:textId="77777777" w:rsidR="00977665" w:rsidRPr="00391186" w:rsidRDefault="00977665" w:rsidP="006B32DC">
            <w:pPr>
              <w:pStyle w:val="SOTableHeadings"/>
              <w:jc w:val="center"/>
            </w:pPr>
            <w:r w:rsidRPr="00391186">
              <w:t>E</w:t>
            </w:r>
          </w:p>
        </w:tc>
        <w:tc>
          <w:tcPr>
            <w:tcW w:w="662" w:type="dxa"/>
            <w:shd w:val="clear" w:color="auto" w:fill="D9D9D9" w:themeFill="background1" w:themeFillShade="D9"/>
            <w:vAlign w:val="center"/>
          </w:tcPr>
          <w:p w14:paraId="0BC000D9" w14:textId="77777777" w:rsidR="00977665" w:rsidRPr="00391186" w:rsidRDefault="00BB3918" w:rsidP="006B32DC">
            <w:pPr>
              <w:pStyle w:val="SOTableHeadings"/>
              <w:jc w:val="center"/>
            </w:pPr>
            <w:r w:rsidRPr="00391186">
              <w:t>IR</w:t>
            </w:r>
          </w:p>
        </w:tc>
        <w:tc>
          <w:tcPr>
            <w:tcW w:w="3141" w:type="dxa"/>
            <w:vMerge/>
            <w:shd w:val="clear" w:color="auto" w:fill="auto"/>
            <w:vAlign w:val="center"/>
          </w:tcPr>
          <w:p w14:paraId="5FED3DA0" w14:textId="77777777" w:rsidR="00977665" w:rsidRPr="00391186" w:rsidRDefault="00977665" w:rsidP="00103D79">
            <w:pPr>
              <w:pStyle w:val="SOTableText"/>
            </w:pPr>
          </w:p>
        </w:tc>
      </w:tr>
      <w:tr w:rsidR="00391186" w:rsidRPr="00391186" w14:paraId="5662B3E9" w14:textId="77777777" w:rsidTr="001B3331">
        <w:trPr>
          <w:trHeight w:val="818"/>
        </w:trPr>
        <w:tc>
          <w:tcPr>
            <w:tcW w:w="5080"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77777777" w:rsidR="00394717" w:rsidRPr="00391186" w:rsidRDefault="00394717" w:rsidP="001B3331">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Students participate in a conversation with the teacher in Indonesian to exchange information, ideas, feelings, opinions, and experiences about their education and aspirations (The Individual). Students demonstrate their ability to sustain and initiate an interaction in Indonesian using a range of linguistic structures, and to provide sufficient depth and breadth in the treatment of their ideas.</w:t>
            </w:r>
          </w:p>
        </w:tc>
        <w:tc>
          <w:tcPr>
            <w:tcW w:w="661"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662"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662" w:type="dxa"/>
            <w:shd w:val="clear" w:color="auto" w:fill="auto"/>
            <w:vAlign w:val="center"/>
          </w:tcPr>
          <w:p w14:paraId="0DD06CD2" w14:textId="77777777" w:rsidR="00394717" w:rsidRPr="00391186" w:rsidRDefault="00394717" w:rsidP="00103D79">
            <w:pPr>
              <w:pStyle w:val="SOTableText"/>
              <w:jc w:val="center"/>
            </w:pPr>
          </w:p>
        </w:tc>
        <w:tc>
          <w:tcPr>
            <w:tcW w:w="3141" w:type="dxa"/>
            <w:shd w:val="clear" w:color="auto" w:fill="auto"/>
            <w:vAlign w:val="center"/>
          </w:tcPr>
          <w:p w14:paraId="0FEB72A2" w14:textId="77777777" w:rsidR="00394717" w:rsidRPr="00391186" w:rsidRDefault="00394717" w:rsidP="00394717">
            <w:pPr>
              <w:rPr>
                <w:sz w:val="18"/>
                <w:szCs w:val="18"/>
              </w:rPr>
            </w:pPr>
            <w:r w:rsidRPr="00391186">
              <w:rPr>
                <w:sz w:val="18"/>
                <w:szCs w:val="18"/>
              </w:rPr>
              <w:t>5-7 minute conversation with teacher</w:t>
            </w:r>
            <w:r w:rsidR="001B3331" w:rsidRPr="00391186">
              <w:rPr>
                <w:sz w:val="18"/>
                <w:szCs w:val="18"/>
              </w:rPr>
              <w:t>.</w:t>
            </w:r>
          </w:p>
          <w:p w14:paraId="5699691F"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 notes or cue cards permitted, but students may refer to pictures or other support materials</w:t>
            </w:r>
            <w:r w:rsidR="001B3331" w:rsidRPr="00391186">
              <w:rPr>
                <w:rFonts w:eastAsiaTheme="minorHAnsi" w:cstheme="minorBidi"/>
                <w:szCs w:val="18"/>
                <w:lang w:val="en-AU"/>
              </w:rPr>
              <w:t>.</w:t>
            </w:r>
          </w:p>
        </w:tc>
      </w:tr>
      <w:tr w:rsidR="00391186" w:rsidRPr="00391186" w14:paraId="667F6DD5" w14:textId="77777777" w:rsidTr="001B3331">
        <w:trPr>
          <w:trHeight w:val="1029"/>
        </w:trPr>
        <w:tc>
          <w:tcPr>
            <w:tcW w:w="5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77777777" w:rsidR="00394717" w:rsidRPr="00391186" w:rsidRDefault="00394717" w:rsidP="001B3331">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Students write a review of an Indonesian film they have recently watched. Students demonstrate their ability to write an informative and evaluative text, responding to specific details, conveying and supporting their ideas using a range of language, and using appropriate register and text type conventions.</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6B32DC">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6B32DC">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6B32DC">
            <w:pPr>
              <w:pStyle w:val="SOTableText"/>
              <w:jc w:val="center"/>
            </w:pPr>
          </w:p>
        </w:tc>
        <w:tc>
          <w:tcPr>
            <w:tcW w:w="3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668F60" w14:textId="77777777" w:rsidR="00394717" w:rsidRPr="00391186" w:rsidRDefault="0039471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A film review of approximately 400 words</w:t>
            </w:r>
            <w:r w:rsidR="001B3331" w:rsidRPr="00391186">
              <w:rPr>
                <w:rFonts w:ascii="Roboto Light" w:eastAsiaTheme="minorHAnsi" w:hAnsi="Roboto Light" w:cstheme="minorBidi"/>
                <w:sz w:val="18"/>
                <w:szCs w:val="18"/>
              </w:rPr>
              <w:t>.</w:t>
            </w:r>
          </w:p>
          <w:p w14:paraId="7597304F" w14:textId="77777777" w:rsidR="00394717" w:rsidRPr="00391186" w:rsidRDefault="00394717" w:rsidP="001B3331">
            <w:pPr>
              <w:pStyle w:val="SOTableText"/>
              <w:rPr>
                <w:rFonts w:eastAsiaTheme="minorHAnsi" w:cstheme="minorBidi"/>
                <w:szCs w:val="18"/>
                <w:lang w:val="en-AU"/>
              </w:rPr>
            </w:pPr>
            <w:r w:rsidRPr="00391186">
              <w:rPr>
                <w:rFonts w:eastAsiaTheme="minorHAnsi" w:cstheme="minorBidi"/>
                <w:szCs w:val="18"/>
                <w:lang w:val="en-AU"/>
              </w:rPr>
              <w:t>Completed over 2 weeks, including some class time</w:t>
            </w:r>
            <w:r w:rsidR="001B3331" w:rsidRPr="00391186">
              <w:rPr>
                <w:rFonts w:eastAsiaTheme="minorHAnsi" w:cstheme="minorBidi"/>
                <w:szCs w:val="18"/>
                <w:lang w:val="en-AU"/>
              </w:rPr>
              <w:t xml:space="preserve">. </w:t>
            </w: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001B3331">
        <w:trPr>
          <w:trHeight w:val="698"/>
        </w:trPr>
        <w:tc>
          <w:tcPr>
            <w:tcW w:w="5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00E872D6" w14:textId="77777777" w:rsidR="00394717" w:rsidRPr="00391186" w:rsidRDefault="00394717" w:rsidP="001B3331">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Students read two Indonesian passages related to the environment, which differ in style and purpose. They then answer questions about the texts in English and/or Indonesian to demonstrate their ability to interpret meaning, analyse language, and reflect on ideas in the texts.</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6B32DC">
            <w:pPr>
              <w:pStyle w:val="SOTableText"/>
              <w:jc w:val="center"/>
            </w:pP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6B32DC">
            <w:pPr>
              <w:pStyle w:val="SOTableText"/>
              <w:jc w:val="center"/>
            </w:pPr>
            <w:r w:rsidRPr="00391186">
              <w:rPr>
                <w:rFonts w:eastAsiaTheme="minorHAnsi" w:cstheme="minorBidi"/>
                <w:szCs w:val="18"/>
              </w:rPr>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6B32DC">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3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CF6929" w14:textId="77777777" w:rsidR="00394717" w:rsidRPr="00391186" w:rsidRDefault="0039471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77777777"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080"/>
        <w:gridCol w:w="661"/>
        <w:gridCol w:w="662"/>
        <w:gridCol w:w="662"/>
        <w:gridCol w:w="3141"/>
      </w:tblGrid>
      <w:tr w:rsidR="00391186" w:rsidRPr="00391186" w14:paraId="1B804270" w14:textId="77777777" w:rsidTr="001B3331">
        <w:trPr>
          <w:trHeight w:val="397"/>
          <w:tblHeader/>
        </w:trPr>
        <w:tc>
          <w:tcPr>
            <w:tcW w:w="5080"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1985" w:type="dxa"/>
            <w:gridSpan w:val="3"/>
            <w:shd w:val="clear" w:color="auto" w:fill="D9D9D9" w:themeFill="background1" w:themeFillShade="D9"/>
            <w:vAlign w:val="center"/>
          </w:tcPr>
          <w:p w14:paraId="07B56FC4" w14:textId="77777777" w:rsidR="00111A42" w:rsidRPr="00391186" w:rsidRDefault="005D1617" w:rsidP="008969E4">
            <w:pPr>
              <w:pStyle w:val="SOTableHeadings"/>
              <w:jc w:val="center"/>
            </w:pPr>
            <w:r w:rsidRPr="00391186">
              <w:t>Assessment design criteria</w:t>
            </w:r>
          </w:p>
        </w:tc>
        <w:tc>
          <w:tcPr>
            <w:tcW w:w="3141" w:type="dxa"/>
            <w:vMerge w:val="restart"/>
            <w:shd w:val="clear" w:color="auto" w:fill="D9D9D9" w:themeFill="background1" w:themeFillShade="D9"/>
            <w:vAlign w:val="center"/>
          </w:tcPr>
          <w:p w14:paraId="568D5545" w14:textId="77777777" w:rsidR="00111A42" w:rsidRPr="00391186" w:rsidRDefault="00111A42" w:rsidP="008969E4">
            <w:pPr>
              <w:pStyle w:val="SOTableHeadings"/>
            </w:pPr>
            <w:r w:rsidRPr="00391186">
              <w:t xml:space="preserve">Assessment conditions </w:t>
            </w:r>
          </w:p>
          <w:p w14:paraId="070D1235" w14:textId="77777777" w:rsidR="00111A42" w:rsidRPr="00391186" w:rsidRDefault="00111A42" w:rsidP="008969E4">
            <w:pPr>
              <w:pStyle w:val="SOTableText"/>
            </w:pPr>
            <w:r w:rsidRPr="00391186">
              <w:rPr>
                <w:sz w:val="16"/>
              </w:rPr>
              <w:t>(e.g. task type, word length, time allocated, supervision)</w:t>
            </w:r>
          </w:p>
        </w:tc>
      </w:tr>
      <w:tr w:rsidR="00391186" w:rsidRPr="00391186" w14:paraId="3EC7F121" w14:textId="77777777" w:rsidTr="006A1055">
        <w:trPr>
          <w:trHeight w:val="61"/>
          <w:tblHeader/>
        </w:trPr>
        <w:tc>
          <w:tcPr>
            <w:tcW w:w="5080" w:type="dxa"/>
            <w:vMerge/>
            <w:shd w:val="clear" w:color="auto" w:fill="D9D9D9" w:themeFill="background1" w:themeFillShade="D9"/>
            <w:vAlign w:val="center"/>
          </w:tcPr>
          <w:p w14:paraId="22818B98" w14:textId="77777777" w:rsidR="00977665" w:rsidRPr="00391186" w:rsidRDefault="00977665" w:rsidP="008969E4">
            <w:pPr>
              <w:pStyle w:val="SOTableText"/>
              <w:rPr>
                <w:i/>
              </w:rPr>
            </w:pPr>
          </w:p>
        </w:tc>
        <w:tc>
          <w:tcPr>
            <w:tcW w:w="661" w:type="dxa"/>
            <w:shd w:val="clear" w:color="auto" w:fill="D9D9D9" w:themeFill="background1" w:themeFillShade="D9"/>
            <w:vAlign w:val="center"/>
          </w:tcPr>
          <w:p w14:paraId="5ED515F1" w14:textId="77777777" w:rsidR="00977665" w:rsidRPr="00391186" w:rsidRDefault="00977665" w:rsidP="006B32DC">
            <w:pPr>
              <w:pStyle w:val="SOTableHeadings"/>
              <w:jc w:val="center"/>
            </w:pPr>
            <w:r w:rsidRPr="00391186">
              <w:t>I</w:t>
            </w:r>
          </w:p>
        </w:tc>
        <w:tc>
          <w:tcPr>
            <w:tcW w:w="662" w:type="dxa"/>
            <w:shd w:val="clear" w:color="auto" w:fill="D9D9D9" w:themeFill="background1" w:themeFillShade="D9"/>
            <w:vAlign w:val="center"/>
          </w:tcPr>
          <w:p w14:paraId="2FB7A295" w14:textId="77777777" w:rsidR="00977665" w:rsidRPr="00391186" w:rsidRDefault="00977665" w:rsidP="006B32DC">
            <w:pPr>
              <w:pStyle w:val="SOTableHeadings"/>
              <w:jc w:val="center"/>
            </w:pPr>
            <w:r w:rsidRPr="00391186">
              <w:t>E</w:t>
            </w:r>
          </w:p>
        </w:tc>
        <w:tc>
          <w:tcPr>
            <w:tcW w:w="662" w:type="dxa"/>
            <w:shd w:val="clear" w:color="auto" w:fill="D9D9D9" w:themeFill="background1" w:themeFillShade="D9"/>
            <w:vAlign w:val="center"/>
          </w:tcPr>
          <w:p w14:paraId="32E4F46A" w14:textId="77777777" w:rsidR="00977665" w:rsidRPr="00391186" w:rsidRDefault="00BB3918" w:rsidP="006B32DC">
            <w:pPr>
              <w:pStyle w:val="SOTableHeadings"/>
              <w:jc w:val="center"/>
            </w:pPr>
            <w:r w:rsidRPr="00391186">
              <w:t>I</w:t>
            </w:r>
            <w:r w:rsidR="00977665" w:rsidRPr="00391186">
              <w:t>R</w:t>
            </w:r>
          </w:p>
        </w:tc>
        <w:tc>
          <w:tcPr>
            <w:tcW w:w="3141" w:type="dxa"/>
            <w:vMerge/>
            <w:shd w:val="clear" w:color="auto" w:fill="auto"/>
            <w:vAlign w:val="center"/>
          </w:tcPr>
          <w:p w14:paraId="14814886" w14:textId="77777777" w:rsidR="00977665" w:rsidRPr="00391186" w:rsidRDefault="00977665" w:rsidP="008969E4">
            <w:pPr>
              <w:pStyle w:val="SOTableText"/>
            </w:pPr>
          </w:p>
        </w:tc>
      </w:tr>
      <w:tr w:rsidR="00391186" w:rsidRPr="00391186" w14:paraId="74A8B6E5" w14:textId="77777777" w:rsidTr="001B3331">
        <w:trPr>
          <w:trHeight w:val="698"/>
        </w:trPr>
        <w:tc>
          <w:tcPr>
            <w:tcW w:w="5080"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77777777" w:rsidR="00394717" w:rsidRPr="00391186" w:rsidRDefault="00394717" w:rsidP="001B3331">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Indonesian and English resources to undertake research into a topic of their choice from the two prescribed themes (The Indonesian-speaking Communities or The Changing World). They then present an informative talk with the help of a Power Point presentation to the </w:t>
            </w:r>
            <w:r w:rsidRPr="00391186">
              <w:rPr>
                <w:rFonts w:ascii="Roboto Light" w:eastAsiaTheme="minorHAnsi" w:hAnsi="Roboto Light" w:cstheme="minorBidi" w:hint="eastAsia"/>
                <w:sz w:val="18"/>
                <w:szCs w:val="18"/>
              </w:rPr>
              <w:t xml:space="preserve">audience at </w:t>
            </w:r>
            <w:r w:rsidRPr="00391186">
              <w:rPr>
                <w:rFonts w:ascii="Roboto Light" w:eastAsiaTheme="minorHAnsi" w:hAnsi="Roboto Light" w:cstheme="minorBidi"/>
                <w:sz w:val="18"/>
                <w:szCs w:val="18"/>
              </w:rPr>
              <w:t>a forum on their main findings. They demonstrate their ability to organise their ideas logically and to use a range of language to express their ideas, creating interest in their talk.</w:t>
            </w:r>
          </w:p>
        </w:tc>
        <w:tc>
          <w:tcPr>
            <w:tcW w:w="661" w:type="dxa"/>
            <w:shd w:val="clear" w:color="auto" w:fill="auto"/>
            <w:vAlign w:val="center"/>
          </w:tcPr>
          <w:p w14:paraId="3F8C3F05" w14:textId="77777777" w:rsidR="00394717" w:rsidRPr="00391186" w:rsidRDefault="001B3331" w:rsidP="008969E4">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662" w:type="dxa"/>
            <w:shd w:val="clear" w:color="auto" w:fill="auto"/>
            <w:vAlign w:val="center"/>
          </w:tcPr>
          <w:p w14:paraId="025A6728" w14:textId="77777777" w:rsidR="00394717" w:rsidRPr="00391186" w:rsidRDefault="001B3331" w:rsidP="008969E4">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662" w:type="dxa"/>
            <w:shd w:val="clear" w:color="auto" w:fill="auto"/>
            <w:vAlign w:val="center"/>
          </w:tcPr>
          <w:p w14:paraId="61340FD1" w14:textId="77777777" w:rsidR="00394717" w:rsidRPr="00391186" w:rsidRDefault="00394717" w:rsidP="008969E4">
            <w:pPr>
              <w:pStyle w:val="SOTableText"/>
              <w:jc w:val="center"/>
            </w:pPr>
          </w:p>
        </w:tc>
        <w:tc>
          <w:tcPr>
            <w:tcW w:w="3141" w:type="dxa"/>
            <w:shd w:val="clear" w:color="auto" w:fill="auto"/>
            <w:vAlign w:val="center"/>
          </w:tcPr>
          <w:p w14:paraId="254FBE2A" w14:textId="77777777" w:rsidR="00394717" w:rsidRPr="00391186" w:rsidRDefault="0039471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Speech of 3-5 minutes duration</w:t>
            </w:r>
            <w:r w:rsidR="001B3331" w:rsidRPr="00391186">
              <w:rPr>
                <w:rFonts w:ascii="Roboto Light" w:eastAsiaTheme="minorHAnsi" w:hAnsi="Roboto Light" w:cstheme="minorBidi"/>
                <w:sz w:val="18"/>
                <w:szCs w:val="18"/>
              </w:rPr>
              <w:t>.</w:t>
            </w:r>
          </w:p>
          <w:p w14:paraId="7F3F17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as support. Cue cards permitted.</w:t>
            </w:r>
          </w:p>
          <w:p w14:paraId="327CB14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drafts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001B3331">
        <w:trPr>
          <w:trHeight w:val="698"/>
        </w:trPr>
        <w:tc>
          <w:tcPr>
            <w:tcW w:w="5080" w:type="dxa"/>
            <w:shd w:val="clear" w:color="auto" w:fill="auto"/>
            <w:vAlign w:val="center"/>
          </w:tcPr>
          <w:p w14:paraId="077D5672"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 xml:space="preserve">Written Response in Indonesian </w:t>
            </w:r>
          </w:p>
          <w:p w14:paraId="6E6A1293" w14:textId="77777777" w:rsidR="00394717" w:rsidRPr="00391186" w:rsidRDefault="00394717" w:rsidP="001B3331">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Using</w:t>
            </w:r>
            <w:r w:rsidRPr="00391186">
              <w:rPr>
                <w:rFonts w:ascii="Roboto Light" w:eastAsiaTheme="minorHAnsi" w:hAnsi="Roboto Light" w:cstheme="minorBidi" w:hint="eastAsia"/>
                <w:sz w:val="18"/>
                <w:szCs w:val="18"/>
              </w:rPr>
              <w:t xml:space="preserve"> the information gained through research about</w:t>
            </w:r>
            <w:r w:rsidRPr="00391186">
              <w:rPr>
                <w:rFonts w:ascii="Roboto Light" w:eastAsiaTheme="minorHAnsi" w:hAnsi="Roboto Light" w:cstheme="minorBidi"/>
                <w:sz w:val="18"/>
                <w:szCs w:val="18"/>
              </w:rPr>
              <w:t xml:space="preserve"> the topic of their choice, students produce a written response, as negotiated with the teacher. The assessment should differ in context, audience, and purpose from the other tasks in this assessment type. The text must include evidence of their research, interpretation of meaning, language analysis, and personal reflection and opinions.</w:t>
            </w:r>
          </w:p>
        </w:tc>
        <w:tc>
          <w:tcPr>
            <w:tcW w:w="661" w:type="dxa"/>
            <w:shd w:val="clear" w:color="auto" w:fill="auto"/>
            <w:vAlign w:val="center"/>
          </w:tcPr>
          <w:p w14:paraId="76579652" w14:textId="77777777" w:rsidR="00394717" w:rsidRPr="00391186" w:rsidRDefault="001B3331" w:rsidP="008969E4">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662" w:type="dxa"/>
            <w:shd w:val="clear" w:color="auto" w:fill="auto"/>
            <w:vAlign w:val="center"/>
          </w:tcPr>
          <w:p w14:paraId="192ED0FC" w14:textId="77777777" w:rsidR="00394717" w:rsidRPr="00391186" w:rsidRDefault="001B3331" w:rsidP="008969E4">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662" w:type="dxa"/>
            <w:shd w:val="clear" w:color="auto" w:fill="auto"/>
            <w:vAlign w:val="center"/>
          </w:tcPr>
          <w:p w14:paraId="34141D81" w14:textId="77777777" w:rsidR="00394717" w:rsidRPr="00391186" w:rsidRDefault="00394717" w:rsidP="008969E4">
            <w:pPr>
              <w:pStyle w:val="SOTableText"/>
              <w:jc w:val="center"/>
            </w:pPr>
            <w:r w:rsidRPr="00391186">
              <w:t>3</w:t>
            </w:r>
          </w:p>
        </w:tc>
        <w:tc>
          <w:tcPr>
            <w:tcW w:w="3141" w:type="dxa"/>
            <w:shd w:val="clear" w:color="auto" w:fill="auto"/>
            <w:vAlign w:val="center"/>
          </w:tcPr>
          <w:p w14:paraId="02BC9C0F" w14:textId="77777777" w:rsidR="00394717" w:rsidRPr="00391186" w:rsidRDefault="0039471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Written response of 500 words in Indonesian</w:t>
            </w:r>
            <w:r w:rsidR="001B3331" w:rsidRPr="00391186">
              <w:rPr>
                <w:rFonts w:ascii="Roboto Light" w:eastAsiaTheme="minorHAnsi" w:hAnsi="Roboto Light" w:cstheme="minorBidi"/>
                <w:sz w:val="18"/>
                <w:szCs w:val="18"/>
              </w:rPr>
              <w:t>.</w:t>
            </w:r>
          </w:p>
          <w:p w14:paraId="18BB95C9" w14:textId="77777777" w:rsidR="00394717" w:rsidRPr="00391186" w:rsidRDefault="0039471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Notes, drafts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001B3331">
        <w:trPr>
          <w:trHeight w:val="698"/>
        </w:trPr>
        <w:tc>
          <w:tcPr>
            <w:tcW w:w="5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062826A" w14:textId="77777777" w:rsidR="00394717" w:rsidRPr="00391186" w:rsidRDefault="00394717" w:rsidP="001B3331">
            <w:pPr>
              <w:spacing w:before="60" w:after="60"/>
              <w:rPr>
                <w:sz w:val="18"/>
                <w:szCs w:val="18"/>
              </w:rPr>
            </w:pPr>
            <w:r w:rsidRPr="00391186">
              <w:rPr>
                <w:sz w:val="18"/>
                <w:szCs w:val="18"/>
              </w:rPr>
              <w:t xml:space="preserve">Students reflect in English on their experience in undertaking the In-depth study. </w:t>
            </w:r>
          </w:p>
          <w:p w14:paraId="0E3221CF" w14:textId="77777777" w:rsidR="00394717" w:rsidRPr="00391186" w:rsidRDefault="00394717" w:rsidP="001B3331">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3447BB12"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lastRenderedPageBreak/>
              <w:t>how the research experience was similar to or different from their preconceptions</w:t>
            </w:r>
          </w:p>
          <w:p w14:paraId="3EE07635"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thinking about language and culture</w:t>
            </w:r>
          </w:p>
          <w:p w14:paraId="4423B2D5"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28907E94"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4A54CE81"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3283036E"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67276142"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w:t>
            </w:r>
            <w:r w:rsidR="00B96EA1" w:rsidRPr="00391186">
              <w:rPr>
                <w:rFonts w:ascii="Roboto Light" w:eastAsiaTheme="minorHAnsi" w:hAnsi="Roboto Light" w:cstheme="minorBidi"/>
                <w:color w:val="auto"/>
                <w:sz w:val="18"/>
                <w:szCs w:val="18"/>
                <w:lang w:val="en-AU"/>
              </w:rPr>
              <w:t xml:space="preserve"> understanding of the Indonesian</w:t>
            </w:r>
            <w:r w:rsidRPr="00391186">
              <w:rPr>
                <w:rFonts w:ascii="Roboto Light" w:eastAsiaTheme="minorHAnsi" w:hAnsi="Roboto Light" w:cstheme="minorBidi"/>
                <w:color w:val="auto"/>
                <w:sz w:val="18"/>
                <w:szCs w:val="18"/>
                <w:lang w:val="en-AU"/>
              </w:rPr>
              <w:t>-speaking communities</w:t>
            </w:r>
          </w:p>
          <w:p w14:paraId="6CCB1A0F"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(e.g. identity, culture(s), values)</w:t>
            </w:r>
          </w:p>
          <w:p w14:paraId="46B39FAB"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74014473" w14:textId="77777777" w:rsidR="00394717" w:rsidRPr="00391186" w:rsidRDefault="00394717" w:rsidP="001B3331">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they may use this experience in the future.</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6B32DC">
            <w:pPr>
              <w:pStyle w:val="SOTableText"/>
              <w:jc w:val="center"/>
            </w:pPr>
            <w:r w:rsidRPr="00391186">
              <w:rPr>
                <w:rFonts w:eastAsiaTheme="minorHAnsi" w:cstheme="minorBidi"/>
                <w:szCs w:val="18"/>
              </w:rPr>
              <w:lastRenderedPageBreak/>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6B32DC">
            <w:pPr>
              <w:pStyle w:val="SOTableText"/>
              <w:jc w:val="center"/>
            </w:pPr>
            <w:r w:rsidRPr="00391186">
              <w:rPr>
                <w:rFonts w:eastAsiaTheme="minorHAnsi" w:cstheme="minorBidi"/>
                <w:szCs w:val="18"/>
              </w:rPr>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6B32DC">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3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01E215" w14:textId="77777777" w:rsidR="00394717" w:rsidRPr="00391186" w:rsidRDefault="00394717" w:rsidP="00394717">
            <w:pPr>
              <w:rPr>
                <w:sz w:val="18"/>
                <w:szCs w:val="18"/>
              </w:rPr>
            </w:pPr>
            <w:r w:rsidRPr="00391186">
              <w:rPr>
                <w:sz w:val="18"/>
                <w:szCs w:val="18"/>
              </w:rPr>
              <w:t>Written response of 600 words or a 5-7 minute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8969E4">
            <w:pPr>
              <w:pStyle w:val="SOTableHeadings"/>
            </w:pPr>
            <w:r w:rsidRPr="00391186">
              <w:t xml:space="preserve">Assessment conditions </w:t>
            </w:r>
          </w:p>
          <w:p w14:paraId="7C8BE23C" w14:textId="77777777" w:rsidR="00977665" w:rsidRPr="00391186" w:rsidRDefault="00977665" w:rsidP="008969E4">
            <w:pPr>
              <w:pStyle w:val="SOTableText"/>
            </w:pPr>
            <w:r w:rsidRPr="00391186">
              <w:rPr>
                <w:sz w:val="16"/>
              </w:rPr>
              <w:t>(e.g.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8969E4">
            <w:pPr>
              <w:pStyle w:val="SOTableText"/>
              <w:rPr>
                <w:i/>
              </w:rPr>
            </w:pPr>
          </w:p>
        </w:tc>
        <w:tc>
          <w:tcPr>
            <w:tcW w:w="3118" w:type="dxa"/>
            <w:vMerge/>
            <w:shd w:val="clear" w:color="auto" w:fill="auto"/>
            <w:vAlign w:val="center"/>
          </w:tcPr>
          <w:p w14:paraId="0194B2E3" w14:textId="77777777" w:rsidR="00977665" w:rsidRPr="00391186" w:rsidRDefault="00977665" w:rsidP="008969E4">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7777777" w:rsidR="00394717" w:rsidRPr="00391186" w:rsidRDefault="00394717" w:rsidP="00394717">
            <w:pPr>
              <w:spacing w:before="60" w:after="60"/>
              <w:rPr>
                <w:rFonts w:cs="Arial"/>
                <w:sz w:val="18"/>
                <w:szCs w:val="18"/>
              </w:rPr>
            </w:pPr>
            <w:r w:rsidRPr="00391186">
              <w:rPr>
                <w:rFonts w:cs="Arial"/>
                <w:sz w:val="18"/>
                <w:szCs w:val="18"/>
              </w:rPr>
              <w:t xml:space="preserve">The oral examination assesses primarily student’s knowledge and skill in using spoken Indonesian. </w:t>
            </w:r>
          </w:p>
          <w:p w14:paraId="356F6497" w14:textId="77777777" w:rsidR="00394717" w:rsidRPr="00391186" w:rsidRDefault="00394717" w:rsidP="00394717">
            <w:pPr>
              <w:spacing w:before="60" w:after="60"/>
              <w:rPr>
                <w:rFonts w:cs="Arial"/>
                <w:sz w:val="18"/>
                <w:szCs w:val="18"/>
              </w:rPr>
            </w:pPr>
            <w:r w:rsidRPr="00391186">
              <w:rPr>
                <w:rFonts w:cs="Arial"/>
                <w:sz w:val="18"/>
                <w:szCs w:val="18"/>
              </w:rPr>
              <w:t>Section 1: Conversation</w:t>
            </w:r>
          </w:p>
          <w:p w14:paraId="0D72D032" w14:textId="77777777" w:rsidR="00394717" w:rsidRPr="00391186" w:rsidRDefault="00394717" w:rsidP="00394717">
            <w:pPr>
              <w:spacing w:before="60" w:after="60"/>
              <w:rPr>
                <w:rFonts w:cs="Arial"/>
                <w:sz w:val="18"/>
                <w:szCs w:val="18"/>
              </w:rPr>
            </w:pPr>
            <w:r w:rsidRPr="00391186">
              <w:rPr>
                <w:rFonts w:cs="Arial"/>
                <w:sz w:val="18"/>
                <w:szCs w:val="18"/>
              </w:rPr>
              <w:t>Section 2: Discussion</w:t>
            </w:r>
            <w:r w:rsidR="006A1055" w:rsidRPr="00391186">
              <w:rPr>
                <w:rFonts w:cs="Arial"/>
                <w:sz w:val="18"/>
                <w:szCs w:val="18"/>
              </w:rPr>
              <w:t>.</w:t>
            </w:r>
          </w:p>
          <w:p w14:paraId="08A9D1C1" w14:textId="5B359B7A"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776941EB" w14:textId="77777777" w:rsidR="00394717" w:rsidRPr="00391186" w:rsidRDefault="00394717" w:rsidP="00394717">
            <w:pPr>
              <w:rPr>
                <w:rFonts w:cs="Arial"/>
                <w:sz w:val="18"/>
                <w:szCs w:val="18"/>
              </w:rPr>
            </w:pPr>
          </w:p>
          <w:p w14:paraId="1C12DAB8" w14:textId="77777777" w:rsidR="00394717" w:rsidRPr="00391186" w:rsidRDefault="00394717" w:rsidP="00394717">
            <w:pPr>
              <w:rPr>
                <w:rFonts w:cs="Arial"/>
                <w:sz w:val="18"/>
                <w:szCs w:val="18"/>
              </w:rPr>
            </w:pPr>
            <w:r w:rsidRPr="00391186">
              <w:rPr>
                <w:rFonts w:cs="Arial"/>
                <w:sz w:val="18"/>
                <w:szCs w:val="18"/>
              </w:rPr>
              <w:t>Oral examination (10 to 15 minutes)</w:t>
            </w:r>
            <w:r w:rsidR="001B3331" w:rsidRPr="00391186">
              <w:rPr>
                <w:rFonts w:cs="Arial"/>
                <w:sz w:val="18"/>
                <w:szCs w:val="18"/>
              </w:rPr>
              <w:t>.</w:t>
            </w: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77777777" w:rsidR="00BB3918" w:rsidRPr="00391186" w:rsidRDefault="00CB1641" w:rsidP="00BB3918">
      <w:pPr>
        <w:spacing w:before="240"/>
        <w:rPr>
          <w:i/>
        </w:rPr>
      </w:pPr>
      <w:r w:rsidRPr="00391186">
        <w:rPr>
          <w:rFonts w:ascii="Roboto Medium" w:hAnsi="Roboto Medium"/>
          <w:bCs/>
          <w:i/>
          <w:iCs/>
          <w:lang w:val="en-US"/>
        </w:rPr>
        <w:t>Eight</w:t>
      </w:r>
      <w:r w:rsidR="00BB3918" w:rsidRPr="00391186">
        <w:rPr>
          <w:rFonts w:ascii="Roboto Medium" w:hAnsi="Roboto Medium"/>
          <w:bCs/>
          <w:i/>
          <w:iCs/>
          <w:lang w:val="en-US"/>
        </w:rPr>
        <w:t xml:space="preserve"> to ten assessments.</w:t>
      </w:r>
      <w:r w:rsidR="00BB3918" w:rsidRPr="00391186">
        <w:rPr>
          <w:b/>
          <w:bCs/>
          <w:i/>
          <w:iCs/>
          <w:lang w:val="en-US"/>
        </w:rPr>
        <w:t xml:space="preserve"> </w:t>
      </w:r>
      <w:r w:rsidR="00BB3918" w:rsidRPr="00391186">
        <w:rPr>
          <w:i/>
          <w:iCs/>
          <w:lang w:val="en-US"/>
        </w:rPr>
        <w:t xml:space="preserve">Please refer to the Locally Assessed Languages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24FC" w14:textId="77777777" w:rsidR="006347D0" w:rsidRDefault="006347D0" w:rsidP="00483E68">
      <w:r>
        <w:separator/>
      </w:r>
    </w:p>
  </w:endnote>
  <w:endnote w:type="continuationSeparator" w:id="0">
    <w:p w14:paraId="15B82F9D" w14:textId="77777777" w:rsidR="006347D0" w:rsidRDefault="006347D0"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1D5" w14:textId="77777777" w:rsidR="00E566F7" w:rsidRDefault="00E56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45F7"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3557" w14:textId="6A74BE67" w:rsidR="006225BE" w:rsidRDefault="00693A24" w:rsidP="00111A42">
    <w:pPr>
      <w:pStyle w:val="LAPFooter"/>
    </w:pPr>
    <w:r>
      <w:rPr>
        <w:noProof/>
        <w:lang w:val="en-AU"/>
      </w:rPr>
      <w:drawing>
        <wp:anchor distT="0" distB="0" distL="114300" distR="114300" simplePos="0" relativeHeight="251659776" behindDoc="0" locked="0" layoutInCell="1" allowOverlap="1" wp14:anchorId="7668FEE7" wp14:editId="3507E013">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584" behindDoc="0" locked="0" layoutInCell="1" allowOverlap="1" wp14:anchorId="0A2C11FF" wp14:editId="57BB15FD">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6A1055">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6A1055">
      <w:rPr>
        <w:noProof/>
      </w:rPr>
      <w:t>3</w:t>
    </w:r>
    <w:r w:rsidR="009B7824" w:rsidRPr="00D128A8">
      <w:fldChar w:fldCharType="end"/>
    </w:r>
    <w:r>
      <w:br/>
    </w:r>
    <w:r w:rsidR="00BB3918" w:rsidRPr="00E81E61">
      <w:t xml:space="preserve">Stage 2 </w:t>
    </w:r>
    <w:r w:rsidR="00BB3918">
      <w:t>Locally Assessed Languages</w:t>
    </w:r>
    <w:r w:rsidR="00302A81">
      <w:t xml:space="preserve"> Indonesian</w:t>
    </w:r>
    <w:r w:rsidR="00BB3918" w:rsidRPr="00A81D8E">
      <w:t xml:space="preserve">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302A81">
      <w:t>2</w:t>
    </w:r>
    <w:r w:rsidRPr="00977665">
      <w:t xml:space="preserve"> </w:t>
    </w:r>
    <w:r w:rsidR="00111A42">
      <w:br/>
    </w:r>
    <w:r w:rsidRPr="00AD3BD3">
      <w:t xml:space="preserve">Ref: </w:t>
    </w:r>
    <w:fldSimple w:instr=" DOCPROPERTY  Objective-Id  \* MERGEFORMAT ">
      <w:r w:rsidR="006A1055">
        <w:t>A692329</w:t>
      </w:r>
    </w:fldSimple>
    <w:r w:rsidR="006A1055">
      <w:t xml:space="preserve"> </w:t>
    </w:r>
    <w:r w:rsidRPr="00AD3BD3">
      <w:t>(</w:t>
    </w:r>
    <w:r w:rsidR="00391186"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5871" w14:textId="535119F3"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800" behindDoc="0" locked="0" layoutInCell="1" allowOverlap="1" wp14:anchorId="3F476726" wp14:editId="314CE74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6A1055">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A1055">
      <w:rPr>
        <w:noProof/>
      </w:rPr>
      <w:t>3</w:t>
    </w:r>
    <w:r w:rsidRPr="00D128A8">
      <w:fldChar w:fldCharType="end"/>
    </w:r>
    <w:r>
      <w:br/>
    </w:r>
    <w:r w:rsidR="00BB3918" w:rsidRPr="00E81E61">
      <w:t xml:space="preserve">Stage 2 </w:t>
    </w:r>
    <w:r w:rsidR="00BB3918">
      <w:t>Locally Assessed Languages</w:t>
    </w:r>
    <w:r w:rsidR="00302A81">
      <w:t xml:space="preserve"> Indonesian</w:t>
    </w:r>
    <w:r w:rsidR="00BB3918" w:rsidRPr="00A81D8E">
      <w:t xml:space="preserve"> </w:t>
    </w:r>
    <w:r w:rsidR="00BB3918" w:rsidRPr="000F5AD3">
      <w:t xml:space="preserve">at </w:t>
    </w:r>
    <w:r w:rsidR="007C3A52" w:rsidRPr="00C533DF">
      <w:t xml:space="preserve">Continuers </w:t>
    </w:r>
    <w:r w:rsidR="00BB3918" w:rsidRPr="000F5AD3">
      <w:t xml:space="preserve">Level </w:t>
    </w:r>
    <w:r w:rsidR="00417A7B">
      <w:t xml:space="preserve">- </w:t>
    </w:r>
    <w:r w:rsidR="00302A81">
      <w:t>Pre-approved LAP-02</w:t>
    </w:r>
    <w:r w:rsidR="006552F9">
      <w:br/>
    </w:r>
    <w:r w:rsidR="006552F9" w:rsidRPr="00AD3BD3">
      <w:t xml:space="preserve">Ref: </w:t>
    </w:r>
    <w:fldSimple w:instr=" DOCPROPERTY  Objective-Id  \* MERGEFORMAT ">
      <w:r w:rsidR="006A1055">
        <w:t>A692329</w:t>
      </w:r>
    </w:fldSimple>
    <w:r w:rsidR="006A1055">
      <w:t xml:space="preserve"> </w:t>
    </w:r>
    <w:r w:rsidR="006552F9" w:rsidRPr="00AD3BD3">
      <w:t>(</w:t>
    </w:r>
    <w:r w:rsidR="00391186"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DB80" w14:textId="77777777" w:rsidR="006347D0" w:rsidRDefault="006347D0" w:rsidP="00483E68">
      <w:r>
        <w:separator/>
      </w:r>
    </w:p>
  </w:footnote>
  <w:footnote w:type="continuationSeparator" w:id="0">
    <w:p w14:paraId="17D96137" w14:textId="77777777" w:rsidR="006347D0" w:rsidRDefault="006347D0"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A78F" w14:textId="77777777" w:rsidR="00E566F7" w:rsidRDefault="00E56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1" relativeHeight="251663872" behindDoc="0" locked="0" layoutInCell="0" allowOverlap="1" wp14:anchorId="2CE303F8" wp14:editId="43A67A74">
              <wp:simplePos x="0" y="190500"/>
              <wp:positionH relativeFrom="page">
                <wp:posOffset>0</wp:posOffset>
              </wp:positionH>
              <wp:positionV relativeFrom="page">
                <wp:posOffset>190500</wp:posOffset>
              </wp:positionV>
              <wp:extent cx="7560310" cy="252095"/>
              <wp:effectExtent l="0" t="0" r="0" b="14605"/>
              <wp:wrapNone/>
              <wp:docPr id="1" name="MSIPCM5a514363a8315654a9e0952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MSIPCM5a514363a8315654a9e0952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A831" w14:textId="7B000726" w:rsidR="00693A24" w:rsidRDefault="00391186">
    <w:pPr>
      <w:pStyle w:val="Header"/>
    </w:pPr>
    <w:r>
      <w:rPr>
        <w:noProof/>
        <w:lang w:eastAsia="en-AU"/>
      </w:rPr>
      <mc:AlternateContent>
        <mc:Choice Requires="wps">
          <w:drawing>
            <wp:anchor distT="0" distB="0" distL="114300" distR="114300" simplePos="0" relativeHeight="251666944"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MSIPCM964e4f3cbd314ebe3a8cfe63"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MSIPCM964e4f3cbd314ebe3a8cfe63"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680"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FB0" w14:textId="11240DC7" w:rsidR="00153C12" w:rsidRDefault="00391186">
    <w:pPr>
      <w:pStyle w:val="Header"/>
    </w:pPr>
    <w:r>
      <w:rPr>
        <w:noProof/>
      </w:rPr>
      <mc:AlternateContent>
        <mc:Choice Requires="wps">
          <w:drawing>
            <wp:anchor distT="0" distB="0" distL="114300" distR="114300" simplePos="0" relativeHeight="251666432"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MSIPCMb9b7460abd9c6a7e9a585dfe"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MSIPCMb9b7460abd9c6a7e9a585dfe"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8857076">
    <w:abstractNumId w:val="1"/>
  </w:num>
  <w:num w:numId="2" w16cid:durableId="14188066">
    <w:abstractNumId w:val="2"/>
  </w:num>
  <w:num w:numId="3" w16cid:durableId="202911368">
    <w:abstractNumId w:val="3"/>
  </w:num>
  <w:num w:numId="4" w16cid:durableId="2091346743">
    <w:abstractNumId w:val="4"/>
  </w:num>
  <w:num w:numId="5" w16cid:durableId="2024935882">
    <w:abstractNumId w:val="0"/>
  </w:num>
  <w:num w:numId="6" w16cid:durableId="114821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7CF3"/>
    <w:rsid w:val="0029046A"/>
    <w:rsid w:val="00294972"/>
    <w:rsid w:val="002A0847"/>
    <w:rsid w:val="002B0D95"/>
    <w:rsid w:val="002B395F"/>
    <w:rsid w:val="002D0D3E"/>
    <w:rsid w:val="002D525F"/>
    <w:rsid w:val="002D5274"/>
    <w:rsid w:val="002F39D1"/>
    <w:rsid w:val="002F39F5"/>
    <w:rsid w:val="002F4306"/>
    <w:rsid w:val="002F67A7"/>
    <w:rsid w:val="00301B3C"/>
    <w:rsid w:val="00302A81"/>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1186"/>
    <w:rsid w:val="00394717"/>
    <w:rsid w:val="00394BDD"/>
    <w:rsid w:val="00395D68"/>
    <w:rsid w:val="003A2BAB"/>
    <w:rsid w:val="003A73C9"/>
    <w:rsid w:val="003B1DA7"/>
    <w:rsid w:val="003B2926"/>
    <w:rsid w:val="003B3564"/>
    <w:rsid w:val="003B552B"/>
    <w:rsid w:val="003C7E73"/>
    <w:rsid w:val="003C7F49"/>
    <w:rsid w:val="003E224A"/>
    <w:rsid w:val="003E2706"/>
    <w:rsid w:val="003F7CDE"/>
    <w:rsid w:val="00402D84"/>
    <w:rsid w:val="00405528"/>
    <w:rsid w:val="00413197"/>
    <w:rsid w:val="00417A7B"/>
    <w:rsid w:val="00427C68"/>
    <w:rsid w:val="0043314C"/>
    <w:rsid w:val="004414FF"/>
    <w:rsid w:val="00445FE6"/>
    <w:rsid w:val="004474C4"/>
    <w:rsid w:val="00447724"/>
    <w:rsid w:val="00450E1F"/>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1055"/>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70D1"/>
    <w:rsid w:val="00977665"/>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6EA1"/>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6F7"/>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239D7"/>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63faebe9156347a0"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9</cp:revision>
  <cp:lastPrinted>2017-10-19T05:27:00Z</cp:lastPrinted>
  <dcterms:created xsi:type="dcterms:W3CDTF">2017-12-15T01:30:00Z</dcterms:created>
  <dcterms:modified xsi:type="dcterms:W3CDTF">2023-03-21T01:02:00Z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ies>
</file>