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F23" w:rsidRDefault="001A0F23" w:rsidP="00643838">
      <w:pPr>
        <w:pStyle w:val="AssessmentTypeHeading"/>
      </w:pPr>
      <w:r>
        <w:rPr>
          <w:noProof/>
          <w:lang w:eastAsia="en-AU"/>
        </w:rPr>
        <w:drawing>
          <wp:inline distT="0" distB="0" distL="0" distR="0">
            <wp:extent cx="2263775" cy="802640"/>
            <wp:effectExtent l="0" t="0" r="3175" b="0"/>
            <wp:docPr id="1" name="Picture 1" descr="SACEBoard_co-bran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CEBoard_co-bran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3775" cy="802640"/>
                    </a:xfrm>
                    <a:prstGeom prst="rect">
                      <a:avLst/>
                    </a:prstGeom>
                    <a:noFill/>
                    <a:ln>
                      <a:noFill/>
                    </a:ln>
                  </pic:spPr>
                </pic:pic>
              </a:graphicData>
            </a:graphic>
          </wp:inline>
        </w:drawing>
      </w:r>
    </w:p>
    <w:p w:rsidR="001A0F23" w:rsidRDefault="001A0F23" w:rsidP="001A0F23">
      <w:pPr>
        <w:pStyle w:val="BodyText1"/>
      </w:pPr>
    </w:p>
    <w:p w:rsidR="001A0F23" w:rsidRPr="00225FC5" w:rsidRDefault="00884643" w:rsidP="00884643">
      <w:pPr>
        <w:pStyle w:val="FrontPageHeading"/>
        <w:spacing w:before="4200"/>
      </w:pPr>
      <w:r>
        <w:t>Community Studies</w:t>
      </w:r>
    </w:p>
    <w:p w:rsidR="001A0F23" w:rsidRPr="00225FC5" w:rsidRDefault="001A0F23" w:rsidP="001A0F23">
      <w:pPr>
        <w:pStyle w:val="FrontPageSub-heading"/>
      </w:pPr>
      <w:r>
        <w:t>2014 Chief Assessor’s Report</w:t>
      </w:r>
    </w:p>
    <w:p w:rsidR="001A0F23" w:rsidRDefault="001A0F23" w:rsidP="001A0F23">
      <w:pPr>
        <w:pStyle w:val="BodyText1"/>
      </w:pPr>
    </w:p>
    <w:p w:rsidR="001A0F23" w:rsidRDefault="001A0F23" w:rsidP="001A0F23">
      <w:pPr>
        <w:pStyle w:val="BodyText1"/>
        <w:sectPr w:rsidR="001A0F23">
          <w:footerReference w:type="even" r:id="rId10"/>
          <w:footerReference w:type="default" r:id="rId11"/>
          <w:headerReference w:type="first" r:id="rId12"/>
          <w:pgSz w:w="11907" w:h="16840" w:code="9"/>
          <w:pgMar w:top="1440" w:right="1797" w:bottom="1440" w:left="1797" w:header="720" w:footer="720" w:gutter="0"/>
          <w:paperSrc w:first="1" w:other="1"/>
          <w:pgNumType w:start="1"/>
          <w:cols w:space="720"/>
          <w:titlePg/>
        </w:sectPr>
      </w:pPr>
    </w:p>
    <w:p w:rsidR="001A0F23" w:rsidRPr="00847D4F" w:rsidRDefault="00884643">
      <w:pPr>
        <w:pStyle w:val="Heading1"/>
        <w:rPr>
          <w:lang w:val="en-US"/>
        </w:rPr>
      </w:pPr>
      <w:r>
        <w:lastRenderedPageBreak/>
        <w:t>Community Studies</w:t>
      </w:r>
    </w:p>
    <w:p w:rsidR="00B1461F" w:rsidRDefault="00B1461F" w:rsidP="006047FB">
      <w:pPr>
        <w:pStyle w:val="Heading1"/>
      </w:pPr>
    </w:p>
    <w:p w:rsidR="001A0F23" w:rsidRDefault="001A0F23" w:rsidP="006047FB">
      <w:pPr>
        <w:pStyle w:val="Heading1"/>
      </w:pPr>
      <w:r>
        <w:t>201</w:t>
      </w:r>
      <w:r w:rsidR="00CD6252">
        <w:t>4</w:t>
      </w:r>
      <w:r>
        <w:t xml:space="preserve"> </w:t>
      </w:r>
      <w:r w:rsidR="00B1461F">
        <w:t>Chief Assessor’s Report</w:t>
      </w:r>
    </w:p>
    <w:p w:rsidR="001A0F23" w:rsidRPr="00DF42D8" w:rsidRDefault="00532959">
      <w:pPr>
        <w:pStyle w:val="Heading2"/>
      </w:pPr>
      <w:r>
        <w:t>Overview</w:t>
      </w:r>
    </w:p>
    <w:p w:rsidR="001A0F23" w:rsidRPr="00012027" w:rsidRDefault="001A0F23" w:rsidP="001A0F23">
      <w:pPr>
        <w:pStyle w:val="BodyText1"/>
      </w:pPr>
      <w:r w:rsidRPr="000C3880">
        <w:t xml:space="preserve">Chief Assessors’ </w:t>
      </w:r>
      <w:r w:rsidRPr="00012027">
        <w:t>reports give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the quality of student performance, and any relevant statistical information.</w:t>
      </w:r>
    </w:p>
    <w:p w:rsidR="001A0F23" w:rsidRDefault="00532959">
      <w:pPr>
        <w:pStyle w:val="Heading2"/>
      </w:pPr>
      <w:r>
        <w:t>School Assessment</w:t>
      </w:r>
    </w:p>
    <w:p w:rsidR="006761FA" w:rsidRPr="00306B68" w:rsidRDefault="006761FA" w:rsidP="00983BD1">
      <w:pPr>
        <w:pStyle w:val="AssessmentTypeHeading"/>
      </w:pPr>
      <w:r w:rsidRPr="00306B68">
        <w:t xml:space="preserve">Assessment </w:t>
      </w:r>
      <w:r w:rsidRPr="00983BD1">
        <w:t>Type</w:t>
      </w:r>
      <w:r w:rsidRPr="00306B68">
        <w:t xml:space="preserve"> 1:</w:t>
      </w:r>
      <w:r w:rsidR="002B4F66">
        <w:t xml:space="preserve"> </w:t>
      </w:r>
      <w:r w:rsidRPr="00306B68">
        <w:t>Contract of Work</w:t>
      </w:r>
    </w:p>
    <w:p w:rsidR="006761FA" w:rsidRPr="00983BD1" w:rsidRDefault="006761FA" w:rsidP="00983BD1">
      <w:pPr>
        <w:pStyle w:val="topicheading"/>
      </w:pPr>
      <w:r w:rsidRPr="00983BD1">
        <w:t>Planning and Organisation Assessment Design Criterion</w:t>
      </w:r>
    </w:p>
    <w:p w:rsidR="006761FA" w:rsidRDefault="006761FA" w:rsidP="00F95729">
      <w:pPr>
        <w:pStyle w:val="BodyText1"/>
      </w:pPr>
      <w:r>
        <w:t>The contract template introduced in 2013 once again supported students to pr</w:t>
      </w:r>
      <w:bookmarkStart w:id="0" w:name="_GoBack"/>
      <w:bookmarkEnd w:id="0"/>
      <w:r>
        <w:t xml:space="preserve">esent detailed contracts. It was evident that many teachers guided students in the identification of existing knowledge and skills, the development of new </w:t>
      </w:r>
      <w:r w:rsidR="002A2A8D">
        <w:t>knowledge and skills</w:t>
      </w:r>
      <w:r>
        <w:t xml:space="preserve"> </w:t>
      </w:r>
      <w:r w:rsidR="002A2A8D">
        <w:t>(</w:t>
      </w:r>
      <w:r>
        <w:t>including specific literacy and numeracy skills</w:t>
      </w:r>
      <w:r w:rsidR="002A2A8D">
        <w:t>),</w:t>
      </w:r>
      <w:r>
        <w:t xml:space="preserve"> and the selection of an appropriate capability</w:t>
      </w:r>
      <w:r w:rsidRPr="006C2E9A">
        <w:t>.</w:t>
      </w:r>
      <w:r>
        <w:t xml:space="preserve"> Students who detailed the </w:t>
      </w:r>
      <w:r w:rsidRPr="007619AF">
        <w:t xml:space="preserve">steps they would </w:t>
      </w:r>
      <w:r>
        <w:t>undertake</w:t>
      </w:r>
      <w:r w:rsidRPr="007619AF">
        <w:t xml:space="preserve"> to carry out their community activity and </w:t>
      </w:r>
      <w:r w:rsidR="002A2A8D">
        <w:t xml:space="preserve">who </w:t>
      </w:r>
      <w:r w:rsidRPr="007619AF">
        <w:t xml:space="preserve">broke down their </w:t>
      </w:r>
      <w:r>
        <w:t xml:space="preserve">actions and strategies into specific, short-term tasks were able to check their progress effectively. This also enabled them </w:t>
      </w:r>
      <w:proofErr w:type="gramStart"/>
      <w:r>
        <w:t>to regularly reflect</w:t>
      </w:r>
      <w:proofErr w:type="gramEnd"/>
      <w:r>
        <w:t xml:space="preserve"> on the development of specific knowledge and skills and their </w:t>
      </w:r>
      <w:r w:rsidRPr="006C2E9A">
        <w:t>ongoing progress and choices made</w:t>
      </w:r>
      <w:r w:rsidRPr="00073870">
        <w:t xml:space="preserve">. </w:t>
      </w:r>
      <w:r w:rsidR="00BF3C44" w:rsidRPr="00073870">
        <w:t xml:space="preserve">Where students chose </w:t>
      </w:r>
      <w:r w:rsidR="00F95729" w:rsidRPr="00F95729">
        <w:t>to</w:t>
      </w:r>
      <w:r w:rsidR="00F95729">
        <w:t xml:space="preserve"> investigate, create, or undertake a community activity that was of personal interest to them, the final contract yielded more positive results against the performance standards</w:t>
      </w:r>
      <w:r w:rsidR="00BF3C44" w:rsidRPr="006C2E9A">
        <w:t>.</w:t>
      </w:r>
      <w:r w:rsidR="00BF3C44">
        <w:t xml:space="preserve"> </w:t>
      </w:r>
      <w:r w:rsidRPr="006C2E9A">
        <w:t>In contrast, where students submitted the same group activity, they were often limited in</w:t>
      </w:r>
      <w:r>
        <w:t xml:space="preserve"> their ability </w:t>
      </w:r>
      <w:proofErr w:type="gramStart"/>
      <w:r>
        <w:t>to</w:t>
      </w:r>
      <w:r w:rsidRPr="006C2E9A">
        <w:t xml:space="preserve"> effectively display</w:t>
      </w:r>
      <w:proofErr w:type="gramEnd"/>
      <w:r w:rsidRPr="006C2E9A">
        <w:t xml:space="preserve"> individual skills, learning</w:t>
      </w:r>
      <w:r w:rsidR="00B34339">
        <w:t>,</w:t>
      </w:r>
      <w:r w:rsidRPr="006C2E9A">
        <w:t xml:space="preserve"> and unique growth and originality.</w:t>
      </w:r>
    </w:p>
    <w:p w:rsidR="006761FA" w:rsidRPr="006C2E9A" w:rsidRDefault="006761FA" w:rsidP="00983BD1">
      <w:pPr>
        <w:pStyle w:val="BodyText1"/>
      </w:pPr>
      <w:r w:rsidRPr="00983BD1">
        <w:t xml:space="preserve">A wide range of activities </w:t>
      </w:r>
      <w:proofErr w:type="gramStart"/>
      <w:r w:rsidRPr="00983BD1">
        <w:t>were undertaken</w:t>
      </w:r>
      <w:proofErr w:type="gramEnd"/>
      <w:r w:rsidRPr="00983BD1">
        <w:t xml:space="preserve"> in each area </w:t>
      </w:r>
      <w:r w:rsidR="00733C68">
        <w:t xml:space="preserve">of study </w:t>
      </w:r>
      <w:r w:rsidRPr="00983BD1">
        <w:t>of Community Studies.</w:t>
      </w:r>
      <w:r w:rsidR="00DA5348">
        <w:t xml:space="preserve"> </w:t>
      </w:r>
      <w:r w:rsidRPr="00983BD1">
        <w:t>A non-verbal film clip with a background of music and vibrant, visual images teaching the skills of surfing was but one example of an</w:t>
      </w:r>
      <w:r>
        <w:t xml:space="preserve"> individual and innovative community activity.</w:t>
      </w:r>
      <w:r w:rsidRPr="006C2E9A">
        <w:t xml:space="preserve"> Other </w:t>
      </w:r>
      <w:r w:rsidR="00E06DAE" w:rsidRPr="006C2E9A">
        <w:t xml:space="preserve">students </w:t>
      </w:r>
      <w:r w:rsidR="00733C68">
        <w:t xml:space="preserve">with activities from the </w:t>
      </w:r>
      <w:r w:rsidRPr="006C2E9A">
        <w:t xml:space="preserve">Arts and the Community </w:t>
      </w:r>
      <w:r w:rsidR="00733C68">
        <w:t xml:space="preserve">area of study </w:t>
      </w:r>
      <w:r w:rsidRPr="006C2E9A">
        <w:t>provided creative examples including inventive, high</w:t>
      </w:r>
      <w:r w:rsidR="00B34339">
        <w:t>-</w:t>
      </w:r>
      <w:r w:rsidRPr="006C2E9A">
        <w:t>end garbage</w:t>
      </w:r>
      <w:r w:rsidR="00B34339">
        <w:t>-</w:t>
      </w:r>
      <w:r w:rsidRPr="006C2E9A">
        <w:t>bag dresses</w:t>
      </w:r>
      <w:r w:rsidR="00E06DAE">
        <w:t>,</w:t>
      </w:r>
      <w:r w:rsidRPr="006C2E9A">
        <w:t xml:space="preserve"> </w:t>
      </w:r>
      <w:r w:rsidR="00E06DAE">
        <w:t xml:space="preserve">and </w:t>
      </w:r>
      <w:r w:rsidRPr="006C2E9A">
        <w:t xml:space="preserve">designing and crafting </w:t>
      </w:r>
      <w:r w:rsidR="00E06DAE" w:rsidRPr="006C2E9A">
        <w:t>a wedding dress</w:t>
      </w:r>
      <w:r w:rsidR="00E06DAE" w:rsidRPr="006C2E9A" w:rsidDel="00E06DAE">
        <w:t xml:space="preserve"> </w:t>
      </w:r>
      <w:r w:rsidR="00E06DAE">
        <w:t xml:space="preserve">and </w:t>
      </w:r>
      <w:r w:rsidRPr="006C2E9A">
        <w:t xml:space="preserve">clothing from the </w:t>
      </w:r>
      <w:r w:rsidR="00E06DAE">
        <w:t>19</w:t>
      </w:r>
      <w:r w:rsidRPr="006C2E9A">
        <w:t>20s flapper era</w:t>
      </w:r>
      <w:r w:rsidR="00E06DAE">
        <w:t xml:space="preserve"> and</w:t>
      </w:r>
      <w:r w:rsidRPr="006C2E9A">
        <w:t xml:space="preserve"> the swinging </w:t>
      </w:r>
      <w:r w:rsidR="00E06DAE">
        <w:t>19</w:t>
      </w:r>
      <w:r w:rsidRPr="006C2E9A">
        <w:t>60s</w:t>
      </w:r>
      <w:r w:rsidR="00E06DAE">
        <w:t>.</w:t>
      </w:r>
      <w:r w:rsidRPr="006C2E9A">
        <w:t xml:space="preserve"> Mosaics </w:t>
      </w:r>
      <w:proofErr w:type="gramStart"/>
      <w:r w:rsidRPr="006C2E9A">
        <w:t>were used</w:t>
      </w:r>
      <w:proofErr w:type="gramEnd"/>
      <w:r w:rsidRPr="006C2E9A">
        <w:t xml:space="preserve"> ingeniously</w:t>
      </w:r>
      <w:r>
        <w:t xml:space="preserve"> in many community activities</w:t>
      </w:r>
      <w:r w:rsidR="00E06DAE">
        <w:t>,</w:t>
      </w:r>
      <w:r>
        <w:t xml:space="preserve"> and sh</w:t>
      </w:r>
      <w:r w:rsidRPr="006C2E9A">
        <w:t>ell jewellery and skateboard</w:t>
      </w:r>
      <w:r>
        <w:t xml:space="preserve"> designs also featured.</w:t>
      </w:r>
      <w:r w:rsidRPr="006C2E9A">
        <w:t xml:space="preserve"> In </w:t>
      </w:r>
      <w:r w:rsidR="00733C68">
        <w:t xml:space="preserve">the </w:t>
      </w:r>
      <w:r w:rsidRPr="006C2E9A">
        <w:t>Science, Technology and the Community</w:t>
      </w:r>
      <w:r w:rsidR="00733C68">
        <w:t xml:space="preserve"> area of study</w:t>
      </w:r>
      <w:r w:rsidRPr="006C2E9A">
        <w:t xml:space="preserve">, </w:t>
      </w:r>
      <w:r>
        <w:t xml:space="preserve">one student constructed </w:t>
      </w:r>
      <w:r w:rsidRPr="006C2E9A">
        <w:t>funky but practical furniture using pallets</w:t>
      </w:r>
      <w:r w:rsidR="00733C68">
        <w:t>,</w:t>
      </w:r>
      <w:r>
        <w:t xml:space="preserve"> while another undertook</w:t>
      </w:r>
      <w:r w:rsidRPr="006C2E9A">
        <w:t xml:space="preserve"> </w:t>
      </w:r>
      <w:r>
        <w:t>a project that</w:t>
      </w:r>
      <w:r w:rsidRPr="006C2E9A">
        <w:t xml:space="preserve"> upcycled furniture.</w:t>
      </w:r>
      <w:r w:rsidR="002B4F66">
        <w:t xml:space="preserve"> </w:t>
      </w:r>
      <w:r>
        <w:t xml:space="preserve">One student </w:t>
      </w:r>
      <w:r w:rsidRPr="006C2E9A">
        <w:t>identified and catalogued</w:t>
      </w:r>
      <w:r>
        <w:t xml:space="preserve"> plants</w:t>
      </w:r>
      <w:r w:rsidRPr="006C2E9A">
        <w:t xml:space="preserve"> in a scrub area.</w:t>
      </w:r>
      <w:r w:rsidR="002B4F66">
        <w:t xml:space="preserve"> </w:t>
      </w:r>
      <w:r w:rsidRPr="006C2E9A">
        <w:t>There was</w:t>
      </w:r>
      <w:r>
        <w:t xml:space="preserve"> also</w:t>
      </w:r>
      <w:r w:rsidRPr="006C2E9A">
        <w:t xml:space="preserve"> a novel analysis of the use of small appliances. </w:t>
      </w:r>
      <w:r>
        <w:t>An example of work completed in</w:t>
      </w:r>
      <w:r w:rsidRPr="006C2E9A">
        <w:t xml:space="preserve"> Health, Recreation</w:t>
      </w:r>
      <w:r w:rsidR="00BB0A6C">
        <w:t>,</w:t>
      </w:r>
      <w:r w:rsidRPr="006C2E9A">
        <w:t xml:space="preserve"> and Community </w:t>
      </w:r>
      <w:r>
        <w:t xml:space="preserve">was the </w:t>
      </w:r>
      <w:r w:rsidRPr="006C2E9A">
        <w:t>regenerat</w:t>
      </w:r>
      <w:r>
        <w:t>ion of plants</w:t>
      </w:r>
      <w:r w:rsidRPr="006C2E9A">
        <w:t xml:space="preserve"> on a golf course</w:t>
      </w:r>
      <w:r>
        <w:t>.</w:t>
      </w:r>
      <w:r w:rsidRPr="006C2E9A">
        <w:t xml:space="preserve"> </w:t>
      </w:r>
      <w:r>
        <w:t>In</w:t>
      </w:r>
      <w:r w:rsidRPr="006C2E9A">
        <w:t xml:space="preserve"> Communication and the Community</w:t>
      </w:r>
      <w:r w:rsidR="00733C68">
        <w:t>,</w:t>
      </w:r>
      <w:r>
        <w:t xml:space="preserve"> examples included the design and creation of</w:t>
      </w:r>
      <w:r w:rsidRPr="006C2E9A">
        <w:t xml:space="preserve"> an </w:t>
      </w:r>
      <w:r>
        <w:t>o</w:t>
      </w:r>
      <w:r w:rsidRPr="006C2E9A">
        <w:t xml:space="preserve">rientation </w:t>
      </w:r>
      <w:r>
        <w:t>b</w:t>
      </w:r>
      <w:r w:rsidRPr="006C2E9A">
        <w:t xml:space="preserve">ooklet for </w:t>
      </w:r>
      <w:r w:rsidR="00733C68">
        <w:t>r</w:t>
      </w:r>
      <w:r>
        <w:t>eception</w:t>
      </w:r>
      <w:r w:rsidRPr="006C2E9A">
        <w:t xml:space="preserve"> students</w:t>
      </w:r>
      <w:r w:rsidR="00733C68">
        <w:t>,</w:t>
      </w:r>
      <w:r w:rsidRPr="006C2E9A">
        <w:t xml:space="preserve"> </w:t>
      </w:r>
      <w:r>
        <w:t>and an</w:t>
      </w:r>
      <w:r w:rsidRPr="006C2E9A">
        <w:t xml:space="preserve"> informative school</w:t>
      </w:r>
      <w:r w:rsidR="00733C68">
        <w:t>-</w:t>
      </w:r>
      <w:r w:rsidRPr="006C2E9A">
        <w:t>leavers’ guide that included banking information and cooking tips. O</w:t>
      </w:r>
      <w:r>
        <w:t>ne</w:t>
      </w:r>
      <w:r w:rsidRPr="006C2E9A">
        <w:t xml:space="preserve"> </w:t>
      </w:r>
      <w:r w:rsidRPr="006C2E9A">
        <w:lastRenderedPageBreak/>
        <w:t xml:space="preserve">student set </w:t>
      </w:r>
      <w:proofErr w:type="gramStart"/>
      <w:r w:rsidRPr="006C2E9A">
        <w:t>up</w:t>
      </w:r>
      <w:r>
        <w:t xml:space="preserve"> </w:t>
      </w:r>
      <w:r w:rsidRPr="006C2E9A">
        <w:t xml:space="preserve">a </w:t>
      </w:r>
      <w:r w:rsidR="00733C68">
        <w:t>w</w:t>
      </w:r>
      <w:r w:rsidRPr="006C2E9A">
        <w:t>omen’s</w:t>
      </w:r>
      <w:proofErr w:type="gramEnd"/>
      <w:r w:rsidRPr="006C2E9A">
        <w:t xml:space="preserve"> </w:t>
      </w:r>
      <w:r w:rsidR="00733C68">
        <w:t>s</w:t>
      </w:r>
      <w:r w:rsidRPr="006C2E9A">
        <w:t>hed and</w:t>
      </w:r>
      <w:r>
        <w:t xml:space="preserve"> another</w:t>
      </w:r>
      <w:r w:rsidRPr="006C2E9A">
        <w:t xml:space="preserve"> created a detailed </w:t>
      </w:r>
      <w:proofErr w:type="spellStart"/>
      <w:r w:rsidRPr="006C2E9A">
        <w:t>Auslan</w:t>
      </w:r>
      <w:proofErr w:type="spellEnd"/>
      <w:r w:rsidRPr="006C2E9A">
        <w:t xml:space="preserve"> </w:t>
      </w:r>
      <w:r w:rsidR="00733C68">
        <w:t>l</w:t>
      </w:r>
      <w:r w:rsidRPr="006C2E9A">
        <w:t>anguage booklet.</w:t>
      </w:r>
      <w:r w:rsidR="002B4F66">
        <w:t xml:space="preserve"> </w:t>
      </w:r>
      <w:r w:rsidRPr="006C2E9A">
        <w:t>Gluten</w:t>
      </w:r>
      <w:r w:rsidR="00733C68">
        <w:t>-</w:t>
      </w:r>
      <w:r w:rsidRPr="006C2E9A">
        <w:t>free recipes and adaptations</w:t>
      </w:r>
      <w:r>
        <w:t xml:space="preserve"> of recipes were some examples of activities in </w:t>
      </w:r>
      <w:r w:rsidRPr="006C2E9A">
        <w:t>Food</w:t>
      </w:r>
      <w:r w:rsidR="004D0608">
        <w:t>s</w:t>
      </w:r>
      <w:r w:rsidRPr="006C2E9A">
        <w:t xml:space="preserve"> and the Community</w:t>
      </w:r>
      <w:r>
        <w:t>.</w:t>
      </w:r>
      <w:r w:rsidRPr="006C2E9A">
        <w:t xml:space="preserve"> Practical ideas about developing essential work-ready skills and running a small business were strong examples of quality contract detail in Work and Community.</w:t>
      </w:r>
    </w:p>
    <w:p w:rsidR="006761FA" w:rsidRPr="004D6D0E" w:rsidRDefault="006761FA" w:rsidP="00983BD1">
      <w:pPr>
        <w:pStyle w:val="topicheading"/>
      </w:pPr>
      <w:r w:rsidRPr="004D6D0E">
        <w:t>Communication and Interaction Assessment Design Criterion</w:t>
      </w:r>
    </w:p>
    <w:p w:rsidR="006761FA" w:rsidRDefault="006761FA" w:rsidP="00983BD1">
      <w:pPr>
        <w:pStyle w:val="BodyText1"/>
      </w:pPr>
      <w:r w:rsidRPr="006C2E9A">
        <w:rPr>
          <w:bCs/>
        </w:rPr>
        <w:t xml:space="preserve">Folios </w:t>
      </w:r>
      <w:r>
        <w:rPr>
          <w:bCs/>
        </w:rPr>
        <w:t xml:space="preserve">demonstrated </w:t>
      </w:r>
      <w:r w:rsidRPr="006C2E9A">
        <w:rPr>
          <w:bCs/>
        </w:rPr>
        <w:t>the extensive work completed along the studen</w:t>
      </w:r>
      <w:r>
        <w:rPr>
          <w:bCs/>
        </w:rPr>
        <w:t>t</w:t>
      </w:r>
      <w:r w:rsidRPr="006C2E9A">
        <w:rPr>
          <w:bCs/>
        </w:rPr>
        <w:t>s</w:t>
      </w:r>
      <w:r>
        <w:rPr>
          <w:bCs/>
        </w:rPr>
        <w:t>’</w:t>
      </w:r>
      <w:r w:rsidRPr="006C2E9A">
        <w:rPr>
          <w:bCs/>
        </w:rPr>
        <w:t xml:space="preserve"> Community Studies journey</w:t>
      </w:r>
      <w:r>
        <w:rPr>
          <w:bCs/>
        </w:rPr>
        <w:t>s</w:t>
      </w:r>
      <w:r w:rsidRPr="006C2E9A">
        <w:rPr>
          <w:bCs/>
        </w:rPr>
        <w:t xml:space="preserve">. Those who </w:t>
      </w:r>
      <w:r>
        <w:rPr>
          <w:bCs/>
        </w:rPr>
        <w:t xml:space="preserve">regularly </w:t>
      </w:r>
      <w:r w:rsidRPr="006C2E9A">
        <w:t xml:space="preserve">reflected </w:t>
      </w:r>
      <w:r>
        <w:t xml:space="preserve">on their </w:t>
      </w:r>
      <w:r w:rsidRPr="006C2E9A">
        <w:t xml:space="preserve">progress in their </w:t>
      </w:r>
      <w:r>
        <w:t xml:space="preserve">folio </w:t>
      </w:r>
      <w:r w:rsidRPr="006C2E9A">
        <w:t>had more positive outcomes.</w:t>
      </w:r>
    </w:p>
    <w:p w:rsidR="006761FA" w:rsidRDefault="006761FA" w:rsidP="00983BD1">
      <w:pPr>
        <w:pStyle w:val="BodyText1"/>
      </w:pPr>
      <w:r w:rsidRPr="006C2E9A">
        <w:t>Many</w:t>
      </w:r>
      <w:r>
        <w:t xml:space="preserve"> students</w:t>
      </w:r>
      <w:r w:rsidRPr="006C2E9A">
        <w:t xml:space="preserve"> outlined why they had chosen their particular community expert</w:t>
      </w:r>
      <w:r>
        <w:t xml:space="preserve"> and they</w:t>
      </w:r>
      <w:r w:rsidRPr="006C2E9A">
        <w:t xml:space="preserve"> regularly communica</w:t>
      </w:r>
      <w:r>
        <w:t>ted with them.</w:t>
      </w:r>
      <w:r w:rsidRPr="006C2E9A">
        <w:t xml:space="preserve"> </w:t>
      </w:r>
      <w:r>
        <w:t>Evidence of</w:t>
      </w:r>
      <w:r w:rsidR="00E52C45">
        <w:t xml:space="preserve"> this communication </w:t>
      </w:r>
      <w:proofErr w:type="gramStart"/>
      <w:r w:rsidR="00E52C45">
        <w:t>was presented</w:t>
      </w:r>
      <w:proofErr w:type="gramEnd"/>
      <w:r w:rsidR="00E52C45">
        <w:t xml:space="preserve"> in a variety of ways in the folios. Students</w:t>
      </w:r>
      <w:r>
        <w:t xml:space="preserve"> </w:t>
      </w:r>
      <w:r w:rsidRPr="006C2E9A">
        <w:t>includ</w:t>
      </w:r>
      <w:r w:rsidR="00E52C45">
        <w:t>ed</w:t>
      </w:r>
      <w:r w:rsidRPr="006C2E9A">
        <w:t xml:space="preserve"> </w:t>
      </w:r>
      <w:r w:rsidR="00E52C45">
        <w:t>copies of</w:t>
      </w:r>
      <w:r w:rsidR="00AC1CD3" w:rsidRPr="00AC1CD3">
        <w:t xml:space="preserve"> </w:t>
      </w:r>
      <w:r w:rsidR="00AC1CD3" w:rsidRPr="006C2E9A">
        <w:t>telephone call</w:t>
      </w:r>
      <w:r w:rsidR="00AC1CD3">
        <w:t xml:space="preserve"> logs,</w:t>
      </w:r>
      <w:r w:rsidR="00E52C45">
        <w:t xml:space="preserve"> </w:t>
      </w:r>
      <w:r w:rsidRPr="006C2E9A">
        <w:t>emai</w:t>
      </w:r>
      <w:r w:rsidR="00E52C45">
        <w:t>ls</w:t>
      </w:r>
      <w:r w:rsidR="003C2DA3">
        <w:t>,</w:t>
      </w:r>
      <w:r w:rsidR="00AC1CD3">
        <w:t xml:space="preserve"> and SMS messages</w:t>
      </w:r>
      <w:r w:rsidR="003C2DA3">
        <w:t>;</w:t>
      </w:r>
      <w:r w:rsidR="00AC1CD3">
        <w:t xml:space="preserve"> links to </w:t>
      </w:r>
      <w:r w:rsidRPr="006C2E9A">
        <w:t>YouTube</w:t>
      </w:r>
      <w:r w:rsidR="00AC1CD3">
        <w:t xml:space="preserve"> videos</w:t>
      </w:r>
      <w:r w:rsidR="003C2DA3">
        <w:t>;</w:t>
      </w:r>
      <w:r w:rsidRPr="006C2E9A">
        <w:t xml:space="preserve"> </w:t>
      </w:r>
      <w:r w:rsidR="003C2DA3">
        <w:t>and screen shots</w:t>
      </w:r>
      <w:r w:rsidR="003C2DA3" w:rsidRPr="006C2E9A">
        <w:t xml:space="preserve"> </w:t>
      </w:r>
      <w:r w:rsidR="003C2DA3">
        <w:t xml:space="preserve">from </w:t>
      </w:r>
      <w:r w:rsidR="00AC1CD3">
        <w:t>S</w:t>
      </w:r>
      <w:r w:rsidRPr="006C2E9A">
        <w:t>kype, Facebook</w:t>
      </w:r>
      <w:r w:rsidR="00BF3C44" w:rsidRPr="006C2E9A">
        <w:t xml:space="preserve">, </w:t>
      </w:r>
      <w:r w:rsidRPr="006C2E9A">
        <w:t>FaceTime</w:t>
      </w:r>
      <w:r w:rsidR="003C2DA3">
        <w:t>,</w:t>
      </w:r>
      <w:r w:rsidR="00AC1CD3">
        <w:t xml:space="preserve"> </w:t>
      </w:r>
      <w:r w:rsidRPr="006C2E9A">
        <w:t xml:space="preserve">and other electronic media. Feedback received </w:t>
      </w:r>
      <w:proofErr w:type="gramStart"/>
      <w:r w:rsidRPr="006C2E9A">
        <w:t>was then used</w:t>
      </w:r>
      <w:proofErr w:type="gramEnd"/>
      <w:r w:rsidRPr="006C2E9A">
        <w:t xml:space="preserve"> to improve work</w:t>
      </w:r>
      <w:r w:rsidR="003C2DA3">
        <w:t>,</w:t>
      </w:r>
      <w:r w:rsidRPr="006C2E9A">
        <w:t xml:space="preserve"> with the student outlining the choices they made as a result</w:t>
      </w:r>
      <w:r>
        <w:t xml:space="preserve"> of the feedback.</w:t>
      </w:r>
      <w:r w:rsidRPr="006C2E9A">
        <w:t xml:space="preserve"> These ongoing reflections also highlighted how students identified and solved problems that arose. </w:t>
      </w:r>
      <w:r w:rsidR="00AC1CD3">
        <w:t>Some students used colour</w:t>
      </w:r>
      <w:r w:rsidR="003C2DA3">
        <w:t>ed</w:t>
      </w:r>
      <w:r w:rsidR="00AC1CD3">
        <w:t xml:space="preserve"> paper </w:t>
      </w:r>
      <w:proofErr w:type="gramStart"/>
      <w:r w:rsidR="00AC1CD3">
        <w:t>to clearly identify</w:t>
      </w:r>
      <w:proofErr w:type="gramEnd"/>
      <w:r w:rsidR="00AC1CD3">
        <w:t xml:space="preserve"> communication with their expert and their responses to feedback.</w:t>
      </w:r>
    </w:p>
    <w:p w:rsidR="006761FA" w:rsidRPr="006C2E9A" w:rsidRDefault="006761FA" w:rsidP="00983BD1">
      <w:pPr>
        <w:pStyle w:val="BodyText1"/>
      </w:pPr>
      <w:r w:rsidRPr="006C2E9A">
        <w:t xml:space="preserve">In most instances, students thoughtfully considered how numeracy and literacy </w:t>
      </w:r>
      <w:proofErr w:type="gramStart"/>
      <w:r w:rsidRPr="006C2E9A">
        <w:t>were used</w:t>
      </w:r>
      <w:proofErr w:type="gramEnd"/>
      <w:r w:rsidRPr="006C2E9A">
        <w:t xml:space="preserve"> in their research.</w:t>
      </w:r>
      <w:r w:rsidR="002B4F66">
        <w:t xml:space="preserve"> </w:t>
      </w:r>
      <w:r>
        <w:t xml:space="preserve">Specific examples of numeracy applications included: the use of measurement in </w:t>
      </w:r>
      <w:r w:rsidRPr="006C2E9A">
        <w:t>clothing</w:t>
      </w:r>
      <w:r>
        <w:t xml:space="preserve"> design; producing </w:t>
      </w:r>
      <w:r w:rsidRPr="006C2E9A">
        <w:t xml:space="preserve">budget </w:t>
      </w:r>
      <w:r>
        <w:t>spreadsheets</w:t>
      </w:r>
      <w:r w:rsidRPr="006C2E9A">
        <w:t xml:space="preserve"> to </w:t>
      </w:r>
      <w:r>
        <w:t xml:space="preserve">cost </w:t>
      </w:r>
      <w:r w:rsidRPr="006C2E9A">
        <w:t>events</w:t>
      </w:r>
      <w:r>
        <w:t>;</w:t>
      </w:r>
      <w:r w:rsidRPr="006C2E9A">
        <w:t xml:space="preserve"> costing jewellery items for sale</w:t>
      </w:r>
      <w:r>
        <w:t>;</w:t>
      </w:r>
      <w:r w:rsidRPr="006C2E9A">
        <w:t xml:space="preserve"> monitoring the weight loss of a horse</w:t>
      </w:r>
      <w:r>
        <w:t>;</w:t>
      </w:r>
      <w:r w:rsidRPr="006C2E9A">
        <w:t xml:space="preserve"> the timing of events in a program</w:t>
      </w:r>
      <w:r>
        <w:t>;</w:t>
      </w:r>
      <w:r w:rsidRPr="006C2E9A">
        <w:t xml:space="preserve"> and compar</w:t>
      </w:r>
      <w:r>
        <w:t>ing the cost, time taken</w:t>
      </w:r>
      <w:r w:rsidR="003C2DA3">
        <w:t>,</w:t>
      </w:r>
      <w:r>
        <w:t xml:space="preserve"> and quality of </w:t>
      </w:r>
      <w:r w:rsidRPr="006C2E9A">
        <w:t xml:space="preserve">making an item compared to </w:t>
      </w:r>
      <w:r>
        <w:t xml:space="preserve">a </w:t>
      </w:r>
      <w:r w:rsidRPr="006C2E9A">
        <w:t>store</w:t>
      </w:r>
      <w:r w:rsidR="003C2DA3">
        <w:t>-</w:t>
      </w:r>
      <w:r w:rsidRPr="006C2E9A">
        <w:t>bough</w:t>
      </w:r>
      <w:r>
        <w:t xml:space="preserve">t item. </w:t>
      </w:r>
      <w:r w:rsidRPr="006C2E9A">
        <w:t xml:space="preserve">Literacy examples were </w:t>
      </w:r>
      <w:r>
        <w:t xml:space="preserve">clearly evident in </w:t>
      </w:r>
      <w:r w:rsidRPr="006C2E9A">
        <w:t xml:space="preserve">recipe books, children’s </w:t>
      </w:r>
      <w:r>
        <w:t>stories</w:t>
      </w:r>
      <w:r w:rsidR="003C2DA3">
        <w:t>,</w:t>
      </w:r>
      <w:r>
        <w:t xml:space="preserve"> </w:t>
      </w:r>
      <w:r w:rsidRPr="006C2E9A">
        <w:t xml:space="preserve">and </w:t>
      </w:r>
      <w:r>
        <w:t xml:space="preserve">information </w:t>
      </w:r>
      <w:r w:rsidRPr="006C2E9A">
        <w:t>guides</w:t>
      </w:r>
      <w:r w:rsidR="003C2DA3">
        <w:t>,</w:t>
      </w:r>
      <w:r w:rsidRPr="006C2E9A">
        <w:t xml:space="preserve"> as well as the wide variety of written, verbal, oral</w:t>
      </w:r>
      <w:r w:rsidR="000D54BF">
        <w:t>,</w:t>
      </w:r>
      <w:r w:rsidRPr="006C2E9A">
        <w:t xml:space="preserve"> and aural communication used.</w:t>
      </w:r>
    </w:p>
    <w:p w:rsidR="006761FA" w:rsidRPr="006C2E9A" w:rsidRDefault="006761FA" w:rsidP="00983BD1">
      <w:pPr>
        <w:pStyle w:val="BodyText1"/>
      </w:pPr>
      <w:r>
        <w:t xml:space="preserve">Many students were able to reflect on the development of one or more capabilities. </w:t>
      </w:r>
      <w:r w:rsidRPr="006C2E9A">
        <w:t xml:space="preserve">Where students focused on one main </w:t>
      </w:r>
      <w:r>
        <w:t>c</w:t>
      </w:r>
      <w:r w:rsidRPr="006C2E9A">
        <w:t>apability</w:t>
      </w:r>
      <w:r w:rsidR="003C2DA3">
        <w:t>,</w:t>
      </w:r>
      <w:r w:rsidRPr="006C2E9A">
        <w:t xml:space="preserve"> they were able to reflect extensively and in depth in an ongoing manner on their development in this particular area, considering their progress and growth over the time of their contract.</w:t>
      </w:r>
    </w:p>
    <w:p w:rsidR="006761FA" w:rsidRPr="006C2E9A" w:rsidRDefault="006761FA" w:rsidP="00CE0A71">
      <w:pPr>
        <w:pStyle w:val="BodyText1"/>
        <w:rPr>
          <w:rFonts w:cs="Arial"/>
          <w:szCs w:val="22"/>
        </w:rPr>
      </w:pPr>
      <w:r w:rsidRPr="006C2E9A">
        <w:t xml:space="preserve">Final </w:t>
      </w:r>
      <w:r>
        <w:t>p</w:t>
      </w:r>
      <w:r w:rsidRPr="006C2E9A">
        <w:t>resentations were well</w:t>
      </w:r>
      <w:r w:rsidR="003C2DA3">
        <w:t xml:space="preserve"> </w:t>
      </w:r>
      <w:r w:rsidRPr="006C2E9A">
        <w:t>prepared and orchestrated by the more successful students. The actual format varied</w:t>
      </w:r>
      <w:r w:rsidR="003C2DA3">
        <w:t>,</w:t>
      </w:r>
      <w:r w:rsidRPr="006C2E9A">
        <w:t xml:space="preserve"> with many opting for an in-school delivery</w:t>
      </w:r>
      <w:r w:rsidR="003C2DA3">
        <w:t>,</w:t>
      </w:r>
      <w:r w:rsidRPr="006C2E9A">
        <w:t xml:space="preserve"> either to the class or as an expo, but a few </w:t>
      </w:r>
      <w:r w:rsidR="003C2DA3">
        <w:t xml:space="preserve">students </w:t>
      </w:r>
      <w:r w:rsidRPr="006C2E9A">
        <w:t>had public openings in parks, at community events, online</w:t>
      </w:r>
      <w:r w:rsidR="003C2DA3">
        <w:t>,</w:t>
      </w:r>
      <w:r w:rsidRPr="006C2E9A">
        <w:t xml:space="preserve"> or as a multimodal presentation. Several successful students planned their presentations to include an assessment of the space to be used</w:t>
      </w:r>
      <w:r w:rsidR="003C2DA3">
        <w:t>,</w:t>
      </w:r>
      <w:r w:rsidRPr="006C2E9A">
        <w:t xml:space="preserve"> especially when the presentation was recorded or photographed</w:t>
      </w:r>
      <w:r w:rsidR="003C2DA3">
        <w:t>,</w:t>
      </w:r>
      <w:r w:rsidRPr="006C2E9A">
        <w:t xml:space="preserve"> therefore resulting in clearer visuals with less distraction. </w:t>
      </w:r>
      <w:r>
        <w:t xml:space="preserve">Many </w:t>
      </w:r>
      <w:r w:rsidRPr="006C2E9A">
        <w:t xml:space="preserve">students also chose to invite their expert, reflecting the support and appreciation for the advice and guidance provided by these community people. </w:t>
      </w:r>
      <w:r>
        <w:t xml:space="preserve">Evidence provided </w:t>
      </w:r>
      <w:r w:rsidRPr="006C2E9A">
        <w:t xml:space="preserve">included the </w:t>
      </w:r>
      <w:r>
        <w:t xml:space="preserve">recorded </w:t>
      </w:r>
      <w:r w:rsidRPr="006C2E9A">
        <w:t>speech, palm cards and supporting Power</w:t>
      </w:r>
      <w:r>
        <w:t>P</w:t>
      </w:r>
      <w:r w:rsidRPr="006C2E9A">
        <w:t>oint, annotated photos of the delivery</w:t>
      </w:r>
      <w:r w:rsidR="003C2DA3">
        <w:t>,</w:t>
      </w:r>
      <w:r w:rsidRPr="006C2E9A">
        <w:t xml:space="preserve"> and feedback from the audience, often with a reflective summary of the whole production.</w:t>
      </w:r>
    </w:p>
    <w:p w:rsidR="004C0332" w:rsidRDefault="006761FA">
      <w:pPr>
        <w:pStyle w:val="topicheading"/>
      </w:pPr>
      <w:r w:rsidRPr="00FE7D05">
        <w:t>Fulfilment of Contract of Work Assessment Design Criterion</w:t>
      </w:r>
    </w:p>
    <w:p w:rsidR="006761FA" w:rsidRDefault="006761FA" w:rsidP="00983BD1">
      <w:pPr>
        <w:pStyle w:val="BodyText1"/>
      </w:pPr>
      <w:r w:rsidRPr="003D21D3">
        <w:t>Fulfilment of the contract</w:t>
      </w:r>
      <w:r>
        <w:t xml:space="preserve"> of work </w:t>
      </w:r>
      <w:proofErr w:type="gramStart"/>
      <w:r>
        <w:t>was demonstrated</w:t>
      </w:r>
      <w:proofErr w:type="gramEnd"/>
      <w:r>
        <w:t xml:space="preserve"> by the eviden</w:t>
      </w:r>
      <w:r w:rsidR="003C2DA3">
        <w:t>ce</w:t>
      </w:r>
      <w:r>
        <w:t xml:space="preserve"> provided in the students’ folios</w:t>
      </w:r>
      <w:r w:rsidR="00AC1CD3">
        <w:t xml:space="preserve"> with reference to the detailed list of actions and strategies provided in the contract.</w:t>
      </w:r>
    </w:p>
    <w:p w:rsidR="006761FA" w:rsidRPr="006C2E9A" w:rsidRDefault="00A01B29" w:rsidP="00983BD1">
      <w:pPr>
        <w:pStyle w:val="BodyText1"/>
        <w:rPr>
          <w:rFonts w:cs="Arial"/>
          <w:szCs w:val="22"/>
        </w:rPr>
      </w:pPr>
      <w:r>
        <w:rPr>
          <w:rFonts w:cs="Arial"/>
          <w:szCs w:val="22"/>
        </w:rPr>
        <w:lastRenderedPageBreak/>
        <w:t xml:space="preserve">Most students selected a variety of appropriate primary and secondary sources. </w:t>
      </w:r>
      <w:r w:rsidR="00AC1CD3">
        <w:rPr>
          <w:rFonts w:cs="Arial"/>
          <w:szCs w:val="22"/>
        </w:rPr>
        <w:t>M</w:t>
      </w:r>
      <w:r w:rsidR="006761FA" w:rsidRPr="006C2E9A">
        <w:rPr>
          <w:rFonts w:cs="Arial"/>
          <w:szCs w:val="22"/>
        </w:rPr>
        <w:t xml:space="preserve">aterial in the </w:t>
      </w:r>
      <w:r w:rsidR="006761FA">
        <w:rPr>
          <w:rFonts w:cs="Arial"/>
          <w:szCs w:val="22"/>
        </w:rPr>
        <w:t>f</w:t>
      </w:r>
      <w:r w:rsidR="006761FA" w:rsidRPr="006C2E9A">
        <w:rPr>
          <w:rFonts w:cs="Arial"/>
          <w:szCs w:val="22"/>
        </w:rPr>
        <w:t>olio may indicate the breadth of students’ research</w:t>
      </w:r>
      <w:r w:rsidR="003C2DA3">
        <w:rPr>
          <w:rFonts w:cs="Arial"/>
          <w:szCs w:val="22"/>
        </w:rPr>
        <w:t>;</w:t>
      </w:r>
      <w:r w:rsidR="006761FA" w:rsidRPr="006C2E9A">
        <w:rPr>
          <w:rFonts w:cs="Arial"/>
          <w:szCs w:val="22"/>
        </w:rPr>
        <w:t xml:space="preserve"> however</w:t>
      </w:r>
      <w:r w:rsidR="003C2DA3">
        <w:rPr>
          <w:rFonts w:cs="Arial"/>
          <w:szCs w:val="22"/>
        </w:rPr>
        <w:t>,</w:t>
      </w:r>
      <w:r w:rsidR="006761FA">
        <w:rPr>
          <w:rFonts w:cs="Arial"/>
          <w:szCs w:val="22"/>
        </w:rPr>
        <w:t xml:space="preserve"> the relevanc</w:t>
      </w:r>
      <w:r w:rsidR="003C2DA3">
        <w:rPr>
          <w:rFonts w:cs="Arial"/>
          <w:szCs w:val="22"/>
        </w:rPr>
        <w:t>e</w:t>
      </w:r>
      <w:r w:rsidR="006761FA">
        <w:rPr>
          <w:rFonts w:cs="Arial"/>
          <w:szCs w:val="22"/>
        </w:rPr>
        <w:t xml:space="preserve"> of the selected material needs to </w:t>
      </w:r>
      <w:proofErr w:type="gramStart"/>
      <w:r w:rsidR="006761FA">
        <w:rPr>
          <w:rFonts w:cs="Arial"/>
          <w:szCs w:val="22"/>
        </w:rPr>
        <w:t>be demonstrated</w:t>
      </w:r>
      <w:proofErr w:type="gramEnd"/>
      <w:r w:rsidR="006761FA">
        <w:rPr>
          <w:rFonts w:cs="Arial"/>
          <w:szCs w:val="22"/>
        </w:rPr>
        <w:t xml:space="preserve">. It should be clear </w:t>
      </w:r>
      <w:r w:rsidR="006761FA" w:rsidRPr="006C2E9A">
        <w:rPr>
          <w:rFonts w:cs="Arial"/>
          <w:szCs w:val="22"/>
        </w:rPr>
        <w:t>what the student</w:t>
      </w:r>
      <w:r w:rsidR="003C2DA3">
        <w:rPr>
          <w:rFonts w:cs="Arial"/>
          <w:szCs w:val="22"/>
        </w:rPr>
        <w:t>s</w:t>
      </w:r>
      <w:r w:rsidR="006761FA" w:rsidRPr="006C2E9A">
        <w:rPr>
          <w:rFonts w:cs="Arial"/>
          <w:szCs w:val="22"/>
        </w:rPr>
        <w:t xml:space="preserve"> ha</w:t>
      </w:r>
      <w:r w:rsidR="003C2DA3">
        <w:rPr>
          <w:rFonts w:cs="Arial"/>
          <w:szCs w:val="22"/>
        </w:rPr>
        <w:t>ve</w:t>
      </w:r>
      <w:r w:rsidR="006761FA" w:rsidRPr="006C2E9A">
        <w:rPr>
          <w:rFonts w:cs="Arial"/>
          <w:szCs w:val="22"/>
        </w:rPr>
        <w:t xml:space="preserve"> gained from this research and how they will use it.</w:t>
      </w:r>
      <w:r w:rsidR="002B4F66">
        <w:rPr>
          <w:rFonts w:cs="Arial"/>
          <w:szCs w:val="22"/>
        </w:rPr>
        <w:t xml:space="preserve"> </w:t>
      </w:r>
      <w:r w:rsidR="006761FA">
        <w:rPr>
          <w:rFonts w:cs="Arial"/>
          <w:szCs w:val="22"/>
        </w:rPr>
        <w:t xml:space="preserve">Annotations in the form of </w:t>
      </w:r>
      <w:r w:rsidR="003C2DA3">
        <w:rPr>
          <w:rFonts w:cs="Arial"/>
          <w:szCs w:val="22"/>
        </w:rPr>
        <w:t>P</w:t>
      </w:r>
      <w:r w:rsidR="006761FA" w:rsidRPr="006C2E9A">
        <w:rPr>
          <w:rFonts w:cs="Arial"/>
          <w:szCs w:val="22"/>
        </w:rPr>
        <w:t>ost-it notes, short summaries</w:t>
      </w:r>
      <w:r w:rsidR="003C2DA3">
        <w:rPr>
          <w:rFonts w:cs="Arial"/>
          <w:szCs w:val="22"/>
        </w:rPr>
        <w:t>,</w:t>
      </w:r>
      <w:r w:rsidR="006761FA" w:rsidRPr="006C2E9A">
        <w:rPr>
          <w:rFonts w:cs="Arial"/>
          <w:szCs w:val="22"/>
        </w:rPr>
        <w:t xml:space="preserve"> or short reflections are effective ways of</w:t>
      </w:r>
      <w:r w:rsidR="006761FA">
        <w:rPr>
          <w:rFonts w:cs="Arial"/>
          <w:szCs w:val="22"/>
        </w:rPr>
        <w:t xml:space="preserve"> highlighting what students have learnt from their research.</w:t>
      </w:r>
    </w:p>
    <w:p w:rsidR="006761FA" w:rsidRPr="006C2E9A" w:rsidRDefault="006761FA" w:rsidP="00983BD1">
      <w:pPr>
        <w:pStyle w:val="BodyText1"/>
        <w:rPr>
          <w:rFonts w:cs="Arial"/>
          <w:szCs w:val="22"/>
        </w:rPr>
      </w:pPr>
      <w:r w:rsidRPr="006C2E9A">
        <w:rPr>
          <w:rFonts w:cs="Arial"/>
          <w:szCs w:val="22"/>
        </w:rPr>
        <w:t xml:space="preserve">In instances where changes </w:t>
      </w:r>
      <w:proofErr w:type="gramStart"/>
      <w:r w:rsidRPr="006C2E9A">
        <w:rPr>
          <w:rFonts w:cs="Arial"/>
          <w:szCs w:val="22"/>
        </w:rPr>
        <w:t>were made</w:t>
      </w:r>
      <w:proofErr w:type="gramEnd"/>
      <w:r w:rsidRPr="006C2E9A">
        <w:rPr>
          <w:rFonts w:cs="Arial"/>
          <w:szCs w:val="22"/>
        </w:rPr>
        <w:t xml:space="preserve"> to the initial signed contract, students indicated the changes on their original contract and showed where a task of similar time value was substituted. Their </w:t>
      </w:r>
      <w:r>
        <w:rPr>
          <w:rFonts w:cs="Arial"/>
          <w:szCs w:val="22"/>
        </w:rPr>
        <w:t>r</w:t>
      </w:r>
      <w:r w:rsidRPr="006C2E9A">
        <w:rPr>
          <w:rFonts w:cs="Arial"/>
          <w:szCs w:val="22"/>
        </w:rPr>
        <w:t xml:space="preserve">ecord of </w:t>
      </w:r>
      <w:r>
        <w:rPr>
          <w:rFonts w:cs="Arial"/>
          <w:szCs w:val="22"/>
        </w:rPr>
        <w:t>e</w:t>
      </w:r>
      <w:r w:rsidRPr="006C2E9A">
        <w:rPr>
          <w:rFonts w:cs="Arial"/>
          <w:szCs w:val="22"/>
        </w:rPr>
        <w:t>vidence</w:t>
      </w:r>
      <w:r>
        <w:rPr>
          <w:rFonts w:cs="Arial"/>
          <w:szCs w:val="22"/>
        </w:rPr>
        <w:t xml:space="preserve"> in the folio</w:t>
      </w:r>
      <w:r w:rsidRPr="006C2E9A">
        <w:rPr>
          <w:rFonts w:cs="Arial"/>
          <w:szCs w:val="22"/>
        </w:rPr>
        <w:t xml:space="preserve"> then provided the justification for the changes and the consultation with teachers or outside expert which occurred</w:t>
      </w:r>
      <w:r w:rsidR="00AC1CD3">
        <w:rPr>
          <w:rFonts w:cs="Arial"/>
          <w:szCs w:val="22"/>
        </w:rPr>
        <w:t>.</w:t>
      </w:r>
    </w:p>
    <w:p w:rsidR="006761FA" w:rsidRPr="006C2E9A" w:rsidRDefault="006761FA" w:rsidP="00983BD1">
      <w:pPr>
        <w:pStyle w:val="BodyText1"/>
        <w:rPr>
          <w:rFonts w:cs="Arial"/>
          <w:szCs w:val="22"/>
        </w:rPr>
      </w:pPr>
      <w:r w:rsidRPr="006C2E9A">
        <w:rPr>
          <w:rFonts w:cs="Arial"/>
          <w:szCs w:val="22"/>
        </w:rPr>
        <w:t xml:space="preserve">More students used multimodal work in their submission to illustrate their independent work, especially the inclusion of annotated photographs which </w:t>
      </w:r>
      <w:r w:rsidR="000D54BF">
        <w:rPr>
          <w:rFonts w:cs="Arial"/>
          <w:szCs w:val="22"/>
        </w:rPr>
        <w:t>told</w:t>
      </w:r>
      <w:r w:rsidRPr="006C2E9A">
        <w:rPr>
          <w:rFonts w:cs="Arial"/>
          <w:szCs w:val="22"/>
        </w:rPr>
        <w:t xml:space="preserve"> the story of a student’s chosen investigation with reflective learning. Should students be involved in a joint venture with others, their specific roles, responsibilities, tasks, reflections</w:t>
      </w:r>
      <w:r w:rsidR="003C2DA3">
        <w:rPr>
          <w:rFonts w:cs="Arial"/>
          <w:szCs w:val="22"/>
        </w:rPr>
        <w:t>,</w:t>
      </w:r>
      <w:r w:rsidRPr="006C2E9A">
        <w:rPr>
          <w:rFonts w:cs="Arial"/>
          <w:szCs w:val="22"/>
        </w:rPr>
        <w:t xml:space="preserve"> and feedback from community experts and personal </w:t>
      </w:r>
      <w:r>
        <w:rPr>
          <w:rFonts w:cs="Arial"/>
          <w:szCs w:val="22"/>
        </w:rPr>
        <w:t>p</w:t>
      </w:r>
      <w:r w:rsidRPr="006C2E9A">
        <w:rPr>
          <w:rFonts w:cs="Arial"/>
          <w:szCs w:val="22"/>
        </w:rPr>
        <w:t xml:space="preserve">resentations need to </w:t>
      </w:r>
      <w:proofErr w:type="gramStart"/>
      <w:r w:rsidRPr="006C2E9A">
        <w:rPr>
          <w:rFonts w:cs="Arial"/>
          <w:szCs w:val="22"/>
        </w:rPr>
        <w:t xml:space="preserve">be </w:t>
      </w:r>
      <w:r w:rsidR="003C2DA3">
        <w:rPr>
          <w:rFonts w:cs="Arial"/>
          <w:szCs w:val="22"/>
        </w:rPr>
        <w:t>clearly identified</w:t>
      </w:r>
      <w:proofErr w:type="gramEnd"/>
      <w:r w:rsidR="00126723">
        <w:rPr>
          <w:rFonts w:cs="Arial"/>
          <w:szCs w:val="22"/>
        </w:rPr>
        <w:t>.</w:t>
      </w:r>
    </w:p>
    <w:p w:rsidR="006761FA" w:rsidRPr="006C2E9A" w:rsidRDefault="006761FA" w:rsidP="006761FA">
      <w:pPr>
        <w:pStyle w:val="Heading2"/>
      </w:pPr>
      <w:r w:rsidRPr="006C2E9A">
        <w:t>External Assessment</w:t>
      </w:r>
    </w:p>
    <w:p w:rsidR="006761FA" w:rsidRDefault="006761FA" w:rsidP="00983BD1">
      <w:pPr>
        <w:pStyle w:val="AssessmentTypeHeading"/>
      </w:pPr>
      <w:r w:rsidRPr="00983BD1">
        <w:t>Assessment</w:t>
      </w:r>
      <w:r w:rsidRPr="00826F9F">
        <w:t xml:space="preserve"> Type </w:t>
      </w:r>
      <w:r>
        <w:t>2:</w:t>
      </w:r>
      <w:r w:rsidRPr="00826F9F">
        <w:t xml:space="preserve"> Reflection</w:t>
      </w:r>
    </w:p>
    <w:p w:rsidR="006761FA" w:rsidRDefault="006761FA" w:rsidP="00983BD1">
      <w:pPr>
        <w:pStyle w:val="BodyText1"/>
      </w:pPr>
      <w:r w:rsidRPr="006C2E9A">
        <w:t>In this introductory year, the 200</w:t>
      </w:r>
      <w:r w:rsidR="003C2DA3">
        <w:t>-</w:t>
      </w:r>
      <w:r w:rsidRPr="006C2E9A">
        <w:t xml:space="preserve">word summary </w:t>
      </w:r>
      <w:proofErr w:type="gramStart"/>
      <w:r w:rsidRPr="006C2E9A">
        <w:t xml:space="preserve">was </w:t>
      </w:r>
      <w:r>
        <w:t>effectively used</w:t>
      </w:r>
      <w:proofErr w:type="gramEnd"/>
      <w:r>
        <w:t xml:space="preserve"> </w:t>
      </w:r>
      <w:r w:rsidRPr="006C2E9A">
        <w:t>to set the conte</w:t>
      </w:r>
      <w:r>
        <w:t>x</w:t>
      </w:r>
      <w:r w:rsidRPr="006C2E9A">
        <w:t>t for the student’s unit of work</w:t>
      </w:r>
      <w:r>
        <w:t>. I</w:t>
      </w:r>
      <w:r w:rsidR="003C2DA3">
        <w:t>n</w:t>
      </w:r>
      <w:r>
        <w:t xml:space="preserve"> most cases, students</w:t>
      </w:r>
      <w:r w:rsidRPr="006C2E9A">
        <w:t xml:space="preserve"> provide</w:t>
      </w:r>
      <w:r>
        <w:t>d</w:t>
      </w:r>
      <w:r w:rsidRPr="006C2E9A">
        <w:t xml:space="preserve"> </w:t>
      </w:r>
      <w:r>
        <w:t>details of the final outcome of the c</w:t>
      </w:r>
      <w:r w:rsidRPr="00402B14">
        <w:t>ommunity activity, the processes used to undertake the activity</w:t>
      </w:r>
      <w:r w:rsidR="003C2DA3">
        <w:t>,</w:t>
      </w:r>
      <w:r w:rsidRPr="00402B14">
        <w:t xml:space="preserve"> and an overview of the final presentation</w:t>
      </w:r>
      <w:r>
        <w:t>. The summary replaced the inclusion of contracts which previously provided moderators with details of the community activity.</w:t>
      </w:r>
    </w:p>
    <w:p w:rsidR="006761FA" w:rsidRDefault="006761FA" w:rsidP="00983BD1">
      <w:pPr>
        <w:pStyle w:val="BodyText1"/>
      </w:pPr>
      <w:r>
        <w:t>Moderators found it useful when</w:t>
      </w:r>
      <w:r w:rsidRPr="006C2E9A">
        <w:t xml:space="preserve"> students ma</w:t>
      </w:r>
      <w:r>
        <w:t>de</w:t>
      </w:r>
      <w:r w:rsidRPr="006C2E9A">
        <w:t xml:space="preserve"> </w:t>
      </w:r>
      <w:r>
        <w:t>a clear</w:t>
      </w:r>
      <w:r w:rsidRPr="006C2E9A">
        <w:t xml:space="preserve"> distinction between the </w:t>
      </w:r>
      <w:r>
        <w:t>200</w:t>
      </w:r>
      <w:r w:rsidR="003C2DA3">
        <w:noBreakHyphen/>
      </w:r>
      <w:r>
        <w:t xml:space="preserve">word </w:t>
      </w:r>
      <w:r w:rsidRPr="006C2E9A">
        <w:t>summary and</w:t>
      </w:r>
      <w:r>
        <w:t xml:space="preserve"> the reflection, giving each a separate word</w:t>
      </w:r>
      <w:r w:rsidR="003C2DA3">
        <w:t>-</w:t>
      </w:r>
      <w:r>
        <w:t>count. For a 20</w:t>
      </w:r>
      <w:r w:rsidR="003C2DA3">
        <w:noBreakHyphen/>
      </w:r>
      <w:r>
        <w:t xml:space="preserve">credit </w:t>
      </w:r>
      <w:r w:rsidR="003C2DA3">
        <w:t>subject,</w:t>
      </w:r>
      <w:r>
        <w:t xml:space="preserve"> the 200</w:t>
      </w:r>
      <w:r w:rsidR="003C2DA3">
        <w:t>-</w:t>
      </w:r>
      <w:r>
        <w:t>word summary is in addition to the 1000</w:t>
      </w:r>
      <w:r w:rsidR="003C2DA3">
        <w:t>-</w:t>
      </w:r>
      <w:r>
        <w:t>word reflection.</w:t>
      </w:r>
      <w:r w:rsidR="00126723">
        <w:t xml:space="preserve"> Similarly, a 10</w:t>
      </w:r>
      <w:r w:rsidR="003C2DA3">
        <w:noBreakHyphen/>
      </w:r>
      <w:r w:rsidR="00126723">
        <w:t xml:space="preserve">credit </w:t>
      </w:r>
      <w:r w:rsidR="003C2DA3">
        <w:t>subject</w:t>
      </w:r>
      <w:r w:rsidR="00126723">
        <w:t xml:space="preserve"> has a 200</w:t>
      </w:r>
      <w:r w:rsidR="003C2DA3">
        <w:noBreakHyphen/>
      </w:r>
      <w:r w:rsidR="00126723">
        <w:t>word summary in addition to the 500</w:t>
      </w:r>
      <w:r w:rsidR="003C2DA3">
        <w:noBreakHyphen/>
      </w:r>
      <w:r w:rsidR="00126723">
        <w:t>word reflection.</w:t>
      </w:r>
      <w:r>
        <w:t xml:space="preserve"> The </w:t>
      </w:r>
      <w:r w:rsidRPr="006C2E9A">
        <w:t>summary enabled students</w:t>
      </w:r>
      <w:r>
        <w:t xml:space="preserve"> to</w:t>
      </w:r>
      <w:r w:rsidRPr="006C2E9A">
        <w:t xml:space="preserve"> achieve a more insightful level of</w:t>
      </w:r>
      <w:r>
        <w:t xml:space="preserve"> evaluation in the reflection because they did not need to recount what they had done within the </w:t>
      </w:r>
      <w:r w:rsidR="003C2DA3">
        <w:t>reflection’s</w:t>
      </w:r>
      <w:r>
        <w:t xml:space="preserve"> word</w:t>
      </w:r>
      <w:r w:rsidR="003C2DA3">
        <w:t>-limit</w:t>
      </w:r>
      <w:r>
        <w:t xml:space="preserve">. Students who specifically addressed the assessment design criteria were more successful. This included reflecting on the </w:t>
      </w:r>
      <w:r w:rsidRPr="00475E08">
        <w:t>development of knowledge and skills, including the selected capability or capabilities, and their application to the community activity</w:t>
      </w:r>
      <w:r>
        <w:t xml:space="preserve"> (</w:t>
      </w:r>
      <w:r w:rsidR="003C2DA3">
        <w:t xml:space="preserve">specific feature </w:t>
      </w:r>
      <w:r>
        <w:t>R2)</w:t>
      </w:r>
      <w:r w:rsidR="003C2DA3">
        <w:t>,</w:t>
      </w:r>
      <w:r>
        <w:t xml:space="preserve"> and r</w:t>
      </w:r>
      <w:r w:rsidRPr="00475E08">
        <w:t>eflect</w:t>
      </w:r>
      <w:r>
        <w:t>ing</w:t>
      </w:r>
      <w:r w:rsidRPr="00475E08">
        <w:t xml:space="preserve"> on the value of the community activity to </w:t>
      </w:r>
      <w:r>
        <w:t xml:space="preserve">themselves </w:t>
      </w:r>
      <w:r w:rsidRPr="00475E08">
        <w:t>and to others</w:t>
      </w:r>
      <w:r>
        <w:t xml:space="preserve"> (R3).</w:t>
      </w:r>
    </w:p>
    <w:p w:rsidR="006761FA" w:rsidRPr="006C2E9A" w:rsidRDefault="006761FA" w:rsidP="00AC2B6E">
      <w:pPr>
        <w:pStyle w:val="BodyText1"/>
      </w:pPr>
      <w:r w:rsidRPr="006C2E9A">
        <w:t>In some cases, guiding questions provided to students</w:t>
      </w:r>
      <w:r>
        <w:t xml:space="preserve"> by teachers</w:t>
      </w:r>
      <w:r w:rsidRPr="006C2E9A">
        <w:t xml:space="preserve"> </w:t>
      </w:r>
      <w:proofErr w:type="gramStart"/>
      <w:r w:rsidRPr="006C2E9A">
        <w:t>were not</w:t>
      </w:r>
      <w:r>
        <w:t xml:space="preserve"> directly</w:t>
      </w:r>
      <w:r w:rsidRPr="006C2E9A">
        <w:t xml:space="preserve"> related</w:t>
      </w:r>
      <w:proofErr w:type="gramEnd"/>
      <w:r w:rsidRPr="006C2E9A">
        <w:t xml:space="preserve"> to the </w:t>
      </w:r>
      <w:r w:rsidR="00983BD1">
        <w:t>performance stand</w:t>
      </w:r>
      <w:r w:rsidR="003C2DA3">
        <w:t>a</w:t>
      </w:r>
      <w:r w:rsidR="00983BD1">
        <w:t>rds</w:t>
      </w:r>
      <w:r w:rsidRPr="006C2E9A">
        <w:t xml:space="preserve"> and therefore did not </w:t>
      </w:r>
      <w:r>
        <w:t>enhance student performance.</w:t>
      </w:r>
      <w:r w:rsidR="002B4F66">
        <w:t xml:space="preserve"> </w:t>
      </w:r>
      <w:r>
        <w:t xml:space="preserve">Too much </w:t>
      </w:r>
      <w:r w:rsidRPr="006C2E9A">
        <w:t xml:space="preserve">scaffolding also had the potential to restrict </w:t>
      </w:r>
      <w:r w:rsidR="00126723">
        <w:t>students in achieving</w:t>
      </w:r>
      <w:r w:rsidRPr="006C2E9A">
        <w:t xml:space="preserve"> the higher grade bands where </w:t>
      </w:r>
      <w:r w:rsidR="00126723">
        <w:t>insightful, independent</w:t>
      </w:r>
      <w:r w:rsidRPr="006C2E9A">
        <w:t xml:space="preserve"> reflection upon student learning is expected.</w:t>
      </w:r>
      <w:r w:rsidR="002B4F66">
        <w:t xml:space="preserve"> </w:t>
      </w:r>
    </w:p>
    <w:p w:rsidR="006761FA" w:rsidRDefault="006761FA" w:rsidP="00AC2B6E">
      <w:pPr>
        <w:pStyle w:val="BodyText1"/>
        <w:rPr>
          <w:rFonts w:cs="Arial"/>
          <w:szCs w:val="22"/>
        </w:rPr>
      </w:pPr>
      <w:r w:rsidRPr="006C2E9A">
        <w:rPr>
          <w:rFonts w:cs="Arial"/>
          <w:szCs w:val="22"/>
        </w:rPr>
        <w:t xml:space="preserve">Greater depth and reflection on achievements was evident when </w:t>
      </w:r>
      <w:proofErr w:type="gramStart"/>
      <w:r>
        <w:rPr>
          <w:rFonts w:cs="Arial"/>
          <w:szCs w:val="22"/>
        </w:rPr>
        <w:t xml:space="preserve">fewer </w:t>
      </w:r>
      <w:r w:rsidRPr="006C2E9A">
        <w:rPr>
          <w:rFonts w:cs="Arial"/>
          <w:szCs w:val="22"/>
        </w:rPr>
        <w:t>capabilities were selected by students</w:t>
      </w:r>
      <w:proofErr w:type="gramEnd"/>
      <w:r w:rsidRPr="006C2E9A">
        <w:rPr>
          <w:rFonts w:cs="Arial"/>
          <w:szCs w:val="22"/>
        </w:rPr>
        <w:t>. With multiple capabilities, the result was often token explanations, which lack</w:t>
      </w:r>
      <w:r>
        <w:rPr>
          <w:rFonts w:cs="Arial"/>
          <w:szCs w:val="22"/>
        </w:rPr>
        <w:t>ed</w:t>
      </w:r>
      <w:r w:rsidRPr="006C2E9A">
        <w:rPr>
          <w:rFonts w:cs="Arial"/>
          <w:szCs w:val="22"/>
        </w:rPr>
        <w:t xml:space="preserve"> </w:t>
      </w:r>
      <w:r w:rsidR="00AE53C7">
        <w:rPr>
          <w:rFonts w:cs="Arial"/>
          <w:szCs w:val="22"/>
        </w:rPr>
        <w:t xml:space="preserve">depth and/or </w:t>
      </w:r>
      <w:r w:rsidRPr="006C2E9A">
        <w:rPr>
          <w:rFonts w:cs="Arial"/>
          <w:szCs w:val="22"/>
        </w:rPr>
        <w:t>elaboration.</w:t>
      </w:r>
    </w:p>
    <w:p w:rsidR="006761FA" w:rsidRPr="006C2E9A" w:rsidRDefault="00826FE7" w:rsidP="00AC2B6E">
      <w:pPr>
        <w:pStyle w:val="BodyText1"/>
        <w:rPr>
          <w:rFonts w:cs="Arial"/>
          <w:szCs w:val="22"/>
        </w:rPr>
      </w:pPr>
      <w:r>
        <w:rPr>
          <w:rFonts w:cs="Arial"/>
          <w:szCs w:val="22"/>
        </w:rPr>
        <w:lastRenderedPageBreak/>
        <w:t>The m</w:t>
      </w:r>
      <w:r w:rsidRPr="006C2E9A">
        <w:rPr>
          <w:rFonts w:cs="Arial"/>
          <w:szCs w:val="22"/>
        </w:rPr>
        <w:t>ore successful students consistently referred to literacy and numeracy</w:t>
      </w:r>
      <w:r w:rsidR="006761FA">
        <w:rPr>
          <w:rFonts w:cs="Arial"/>
          <w:szCs w:val="22"/>
        </w:rPr>
        <w:t>. These students p</w:t>
      </w:r>
      <w:r w:rsidR="006761FA" w:rsidRPr="006C2E9A">
        <w:rPr>
          <w:rFonts w:cs="Arial"/>
          <w:szCs w:val="22"/>
        </w:rPr>
        <w:t>rovided specific examples of their learning which was clear, detailed</w:t>
      </w:r>
      <w:r w:rsidR="003C2DA3">
        <w:rPr>
          <w:rFonts w:cs="Arial"/>
          <w:szCs w:val="22"/>
        </w:rPr>
        <w:t>,</w:t>
      </w:r>
      <w:r w:rsidR="006761FA" w:rsidRPr="006C2E9A">
        <w:rPr>
          <w:rFonts w:cs="Arial"/>
          <w:szCs w:val="22"/>
        </w:rPr>
        <w:t xml:space="preserve"> and insightful, outlining how and why they could apply these skills in the future. </w:t>
      </w:r>
      <w:r w:rsidR="006761FA">
        <w:rPr>
          <w:rFonts w:cs="Arial"/>
          <w:szCs w:val="22"/>
        </w:rPr>
        <w:t xml:space="preserve">Many </w:t>
      </w:r>
      <w:r w:rsidR="006761FA" w:rsidRPr="006C2E9A">
        <w:rPr>
          <w:rFonts w:cs="Arial"/>
          <w:szCs w:val="22"/>
        </w:rPr>
        <w:t xml:space="preserve">students provided solid evidence of literacy development but only minimal evidence of a similar improvement in numeracy. It was evident that </w:t>
      </w:r>
      <w:r w:rsidR="006761FA">
        <w:rPr>
          <w:rFonts w:cs="Arial"/>
          <w:szCs w:val="22"/>
        </w:rPr>
        <w:t>t</w:t>
      </w:r>
      <w:r w:rsidR="006761FA" w:rsidRPr="006C2E9A">
        <w:rPr>
          <w:rFonts w:cs="Arial"/>
          <w:szCs w:val="22"/>
        </w:rPr>
        <w:t>he majority of students gained a great deal of new learning, providing specific examples of</w:t>
      </w:r>
      <w:r w:rsidR="006761FA" w:rsidRPr="003C407E">
        <w:rPr>
          <w:rFonts w:cs="Arial"/>
          <w:szCs w:val="22"/>
        </w:rPr>
        <w:t xml:space="preserve"> </w:t>
      </w:r>
      <w:r w:rsidR="006761FA" w:rsidRPr="006C2E9A">
        <w:rPr>
          <w:rFonts w:cs="Arial"/>
          <w:szCs w:val="22"/>
        </w:rPr>
        <w:t>newly acquired skills</w:t>
      </w:r>
      <w:r w:rsidR="006761FA">
        <w:rPr>
          <w:rFonts w:cs="Arial"/>
          <w:szCs w:val="22"/>
        </w:rPr>
        <w:t xml:space="preserve"> gained through the completion of their project.</w:t>
      </w:r>
    </w:p>
    <w:p w:rsidR="006761FA" w:rsidRDefault="006761FA" w:rsidP="00AC2B6E">
      <w:pPr>
        <w:pStyle w:val="BodyText1"/>
        <w:rPr>
          <w:rFonts w:cs="Arial"/>
          <w:szCs w:val="22"/>
        </w:rPr>
      </w:pPr>
      <w:r>
        <w:rPr>
          <w:rFonts w:cs="Arial"/>
          <w:szCs w:val="22"/>
        </w:rPr>
        <w:t>R</w:t>
      </w:r>
      <w:r w:rsidRPr="006C2E9A">
        <w:rPr>
          <w:rFonts w:cs="Arial"/>
          <w:szCs w:val="22"/>
        </w:rPr>
        <w:t xml:space="preserve">eflection </w:t>
      </w:r>
      <w:r>
        <w:rPr>
          <w:rFonts w:cs="Arial"/>
          <w:szCs w:val="22"/>
        </w:rPr>
        <w:t>on the value of the community</w:t>
      </w:r>
      <w:r w:rsidRPr="006C2E9A">
        <w:rPr>
          <w:rFonts w:cs="Arial"/>
          <w:szCs w:val="22"/>
        </w:rPr>
        <w:t xml:space="preserve"> to self </w:t>
      </w:r>
      <w:proofErr w:type="gramStart"/>
      <w:r w:rsidRPr="006C2E9A">
        <w:rPr>
          <w:rFonts w:cs="Arial"/>
          <w:szCs w:val="22"/>
        </w:rPr>
        <w:t xml:space="preserve">was </w:t>
      </w:r>
      <w:r w:rsidR="003837C9">
        <w:rPr>
          <w:rFonts w:cs="Arial"/>
          <w:szCs w:val="22"/>
        </w:rPr>
        <w:t xml:space="preserve">generally </w:t>
      </w:r>
      <w:r w:rsidRPr="006C2E9A">
        <w:rPr>
          <w:rFonts w:cs="Arial"/>
          <w:szCs w:val="22"/>
        </w:rPr>
        <w:t>well explained</w:t>
      </w:r>
      <w:proofErr w:type="gramEnd"/>
      <w:r w:rsidR="00826FE7">
        <w:rPr>
          <w:rFonts w:cs="Arial"/>
          <w:szCs w:val="22"/>
        </w:rPr>
        <w:t>,</w:t>
      </w:r>
      <w:r w:rsidRPr="006C2E9A">
        <w:rPr>
          <w:rFonts w:cs="Arial"/>
          <w:szCs w:val="22"/>
        </w:rPr>
        <w:t xml:space="preserve"> with students detailing the </w:t>
      </w:r>
      <w:r>
        <w:rPr>
          <w:rFonts w:cs="Arial"/>
          <w:szCs w:val="22"/>
        </w:rPr>
        <w:t xml:space="preserve">benefits </w:t>
      </w:r>
      <w:r w:rsidRPr="006C2E9A">
        <w:rPr>
          <w:rFonts w:cs="Arial"/>
          <w:szCs w:val="22"/>
        </w:rPr>
        <w:t xml:space="preserve">they gained from their personal research and involvement in their chosen activity. Those students actively involved in producing or making a task or project for the wider community were better equipped to make connections relating to the benefits to the community and to others. However, writing about </w:t>
      </w:r>
      <w:r w:rsidR="003C2DA3">
        <w:rPr>
          <w:rFonts w:cs="Arial"/>
          <w:szCs w:val="22"/>
        </w:rPr>
        <w:t>a</w:t>
      </w:r>
      <w:r w:rsidRPr="006C2E9A">
        <w:rPr>
          <w:rFonts w:cs="Arial"/>
          <w:szCs w:val="22"/>
        </w:rPr>
        <w:t xml:space="preserve"> project and the possible benefit to others needs a stronger focus by </w:t>
      </w:r>
      <w:r w:rsidR="000D54BF">
        <w:rPr>
          <w:rFonts w:cs="Arial"/>
          <w:szCs w:val="22"/>
        </w:rPr>
        <w:t>the</w:t>
      </w:r>
      <w:r w:rsidRPr="006C2E9A">
        <w:rPr>
          <w:rFonts w:cs="Arial"/>
          <w:szCs w:val="22"/>
        </w:rPr>
        <w:t xml:space="preserve"> majority of students. Examples of community involvement by students included seeing people’s art, being in an audience, </w:t>
      </w:r>
      <w:r w:rsidR="003C2DA3">
        <w:rPr>
          <w:rFonts w:cs="Arial"/>
          <w:szCs w:val="22"/>
        </w:rPr>
        <w:t xml:space="preserve">or </w:t>
      </w:r>
      <w:r w:rsidRPr="006C2E9A">
        <w:rPr>
          <w:rFonts w:cs="Arial"/>
          <w:szCs w:val="22"/>
        </w:rPr>
        <w:t>publishing a book for the school community</w:t>
      </w:r>
      <w:r w:rsidR="00864E23">
        <w:rPr>
          <w:rFonts w:cs="Arial"/>
          <w:szCs w:val="22"/>
        </w:rPr>
        <w:t>,</w:t>
      </w:r>
      <w:r w:rsidRPr="006C2E9A">
        <w:rPr>
          <w:rFonts w:cs="Arial"/>
          <w:szCs w:val="22"/>
        </w:rPr>
        <w:t xml:space="preserve"> which all demonstrated active involvement. </w:t>
      </w:r>
    </w:p>
    <w:p w:rsidR="006761FA" w:rsidRPr="006C2E9A" w:rsidRDefault="006761FA" w:rsidP="00AC2B6E">
      <w:pPr>
        <w:pStyle w:val="BodyText1"/>
      </w:pPr>
      <w:r>
        <w:t>S</w:t>
      </w:r>
      <w:r w:rsidRPr="006C2E9A">
        <w:t>tudents who were involved in a class contract,</w:t>
      </w:r>
      <w:r>
        <w:t xml:space="preserve"> often </w:t>
      </w:r>
      <w:r w:rsidRPr="006C2E9A">
        <w:t>lacked the necessary individual component and personal reflections based upon their own individual role and responsibilities within the group.</w:t>
      </w:r>
      <w:r w:rsidRPr="00826F9F">
        <w:t xml:space="preserve"> Students who </w:t>
      </w:r>
      <w:proofErr w:type="gramStart"/>
      <w:r w:rsidRPr="00826F9F">
        <w:t>were originally enrolled</w:t>
      </w:r>
      <w:proofErr w:type="gramEnd"/>
      <w:r w:rsidRPr="00826F9F">
        <w:t xml:space="preserve"> in other subjects and were using work from these subjects did less well, indicating </w:t>
      </w:r>
      <w:r w:rsidR="003837C9" w:rsidRPr="00826F9F">
        <w:t>unfamiliarity</w:t>
      </w:r>
      <w:r w:rsidRPr="00826F9F">
        <w:t xml:space="preserve"> </w:t>
      </w:r>
      <w:r>
        <w:t>with</w:t>
      </w:r>
      <w:r w:rsidRPr="00826F9F">
        <w:t xml:space="preserve"> the </w:t>
      </w:r>
      <w:r w:rsidR="00AC2B6E">
        <w:t>performance standards</w:t>
      </w:r>
      <w:r w:rsidRPr="00826F9F">
        <w:t>.</w:t>
      </w:r>
    </w:p>
    <w:p w:rsidR="006761FA" w:rsidRPr="006C2E9A" w:rsidRDefault="006761FA" w:rsidP="00AC2B6E">
      <w:pPr>
        <w:pStyle w:val="BodyText1"/>
      </w:pPr>
      <w:r w:rsidRPr="006C2E9A">
        <w:t xml:space="preserve">Where students provided a </w:t>
      </w:r>
      <w:r>
        <w:t>m</w:t>
      </w:r>
      <w:r w:rsidRPr="006C2E9A">
        <w:t xml:space="preserve">ultimodal response, </w:t>
      </w:r>
      <w:r w:rsidR="008E2C21">
        <w:t xml:space="preserve">for example, </w:t>
      </w:r>
      <w:r w:rsidRPr="006C2E9A">
        <w:t>with a 1.5</w:t>
      </w:r>
      <w:r w:rsidR="00224B04">
        <w:t>-</w:t>
      </w:r>
      <w:r w:rsidRPr="006C2E9A">
        <w:t>minute summary</w:t>
      </w:r>
      <w:r>
        <w:t xml:space="preserve"> and a</w:t>
      </w:r>
      <w:r w:rsidRPr="006C2E9A">
        <w:t xml:space="preserve"> 6</w:t>
      </w:r>
      <w:r w:rsidR="008E2C21">
        <w:t>-</w:t>
      </w:r>
      <w:r w:rsidRPr="006C2E9A">
        <w:t>minute reflection, the need to plan and practi</w:t>
      </w:r>
      <w:r w:rsidR="00864E23">
        <w:t>s</w:t>
      </w:r>
      <w:r w:rsidRPr="006C2E9A">
        <w:t>e</w:t>
      </w:r>
      <w:r>
        <w:t xml:space="preserve"> was evident</w:t>
      </w:r>
      <w:r w:rsidRPr="006C2E9A">
        <w:t>. While a form of scaffolding by teachers is acceptable, the presentation delivery needs to be by the student, rather than a teacher leading the discussion, which may preclude students achieving a higher grade.</w:t>
      </w:r>
    </w:p>
    <w:p w:rsidR="006761FA" w:rsidRPr="0087307A" w:rsidRDefault="006761FA" w:rsidP="00CE0A71">
      <w:pPr>
        <w:pStyle w:val="Heading2"/>
      </w:pPr>
      <w:r w:rsidRPr="0087307A">
        <w:t>Operational Advice</w:t>
      </w:r>
    </w:p>
    <w:p w:rsidR="000D54BF" w:rsidRPr="00826F9F" w:rsidRDefault="000D54BF" w:rsidP="000D54BF">
      <w:pPr>
        <w:pStyle w:val="BodyText1"/>
        <w:rPr>
          <w:rFonts w:cs="Arial"/>
          <w:szCs w:val="22"/>
        </w:rPr>
      </w:pPr>
      <w:r>
        <w:rPr>
          <w:rFonts w:cs="Arial"/>
          <w:szCs w:val="22"/>
        </w:rPr>
        <w:t xml:space="preserve">School assessment tasks </w:t>
      </w:r>
      <w:proofErr w:type="gramStart"/>
      <w:r>
        <w:rPr>
          <w:rFonts w:cs="Arial"/>
          <w:szCs w:val="22"/>
        </w:rPr>
        <w:t>are set and marked by teachers</w:t>
      </w:r>
      <w:proofErr w:type="gramEnd"/>
      <w:r>
        <w:rPr>
          <w:rFonts w:cs="Arial"/>
          <w:szCs w:val="22"/>
        </w:rPr>
        <w:t xml:space="preserve">. </w:t>
      </w:r>
      <w:proofErr w:type="gramStart"/>
      <w:r>
        <w:rPr>
          <w:rFonts w:cs="Arial"/>
          <w:szCs w:val="22"/>
        </w:rPr>
        <w:t>Teachers’ assessment decisions are reviewed by moderators</w:t>
      </w:r>
      <w:proofErr w:type="gramEnd"/>
      <w:r>
        <w:rPr>
          <w:rFonts w:cs="Arial"/>
          <w:szCs w:val="22"/>
        </w:rPr>
        <w:t>. Teacher grades/marks should be evident on all student school assessment work.</w:t>
      </w:r>
    </w:p>
    <w:p w:rsidR="006761FA" w:rsidRPr="00826F9F" w:rsidRDefault="006761FA">
      <w:pPr>
        <w:pStyle w:val="BodyText1"/>
      </w:pPr>
      <w:r>
        <w:t>Inclusion of the</w:t>
      </w:r>
      <w:r w:rsidRPr="008D4C1E">
        <w:t xml:space="preserve"> </w:t>
      </w:r>
      <w:r w:rsidR="00224B04">
        <w:t>a</w:t>
      </w:r>
      <w:r w:rsidRPr="008D4C1E">
        <w:t xml:space="preserve">ssessment </w:t>
      </w:r>
      <w:r w:rsidR="00224B04">
        <w:t>g</w:t>
      </w:r>
      <w:r w:rsidRPr="008D4C1E">
        <w:t xml:space="preserve">roup </w:t>
      </w:r>
      <w:r w:rsidR="00224B04">
        <w:t>p</w:t>
      </w:r>
      <w:r w:rsidRPr="008D4C1E">
        <w:t xml:space="preserve">rogram </w:t>
      </w:r>
      <w:r w:rsidR="00224B04">
        <w:t>p</w:t>
      </w:r>
      <w:r w:rsidRPr="008D4C1E">
        <w:t>lanner</w:t>
      </w:r>
      <w:r>
        <w:t xml:space="preserve"> </w:t>
      </w:r>
      <w:r w:rsidRPr="008D4C1E">
        <w:t>is essential</w:t>
      </w:r>
      <w:r w:rsidR="00864E23">
        <w:t>,</w:t>
      </w:r>
      <w:r>
        <w:t xml:space="preserve"> as it</w:t>
      </w:r>
      <w:r w:rsidRPr="008D4C1E">
        <w:t xml:space="preserve"> provid</w:t>
      </w:r>
      <w:r>
        <w:t>es</w:t>
      </w:r>
      <w:r w:rsidRPr="008D4C1E">
        <w:t xml:space="preserve"> detail about the student</w:t>
      </w:r>
      <w:r>
        <w:t>s</w:t>
      </w:r>
      <w:r w:rsidRPr="008D4C1E">
        <w:t xml:space="preserve">, </w:t>
      </w:r>
      <w:r w:rsidR="00224B04">
        <w:t xml:space="preserve">their </w:t>
      </w:r>
      <w:r>
        <w:t>specific learning needs</w:t>
      </w:r>
      <w:r w:rsidR="008E2C21">
        <w:t>,</w:t>
      </w:r>
      <w:r>
        <w:t xml:space="preserve"> </w:t>
      </w:r>
      <w:r w:rsidRPr="008D4C1E">
        <w:t xml:space="preserve">and the specific, ongoing strategies employed by the teacher to support </w:t>
      </w:r>
      <w:r w:rsidR="00224B04">
        <w:t>each</w:t>
      </w:r>
      <w:r w:rsidRPr="008D4C1E">
        <w:t xml:space="preserve"> student. Simply stating </w:t>
      </w:r>
      <w:r w:rsidR="00864E23">
        <w:t xml:space="preserve">that </w:t>
      </w:r>
      <w:r w:rsidRPr="008D4C1E">
        <w:t>a student is</w:t>
      </w:r>
      <w:r>
        <w:t xml:space="preserve"> on a </w:t>
      </w:r>
      <w:r w:rsidR="00224B04">
        <w:t>n</w:t>
      </w:r>
      <w:r>
        <w:t xml:space="preserve">egotiated </w:t>
      </w:r>
      <w:r w:rsidR="00224B04">
        <w:t>e</w:t>
      </w:r>
      <w:r>
        <w:t xml:space="preserve">ducation </w:t>
      </w:r>
      <w:r w:rsidR="00224B04">
        <w:t>p</w:t>
      </w:r>
      <w:r>
        <w:t>lan (NEP)</w:t>
      </w:r>
      <w:r w:rsidRPr="008D4C1E">
        <w:t xml:space="preserve"> is too broad</w:t>
      </w:r>
      <w:r>
        <w:t>. For example</w:t>
      </w:r>
      <w:r w:rsidR="00A93508">
        <w:t>, a specific comment such as:</w:t>
      </w:r>
      <w:r w:rsidR="00533269">
        <w:t xml:space="preserve"> </w:t>
      </w:r>
      <w:r>
        <w:t>‘requires</w:t>
      </w:r>
      <w:r w:rsidRPr="008D4C1E">
        <w:t xml:space="preserve"> reading-age</w:t>
      </w:r>
      <w:r w:rsidR="00864E23">
        <w:t>-</w:t>
      </w:r>
      <w:r w:rsidRPr="008D4C1E">
        <w:t xml:space="preserve">appropriate material and support to refine the selection of </w:t>
      </w:r>
      <w:r w:rsidR="002B4F66">
        <w:t>I</w:t>
      </w:r>
      <w:r w:rsidRPr="008D4C1E">
        <w:t>nternet sources’</w:t>
      </w:r>
      <w:r w:rsidR="00A93508">
        <w:t xml:space="preserve">, </w:t>
      </w:r>
      <w:r>
        <w:t>provides the moderators with a clearer picture.</w:t>
      </w:r>
    </w:p>
    <w:p w:rsidR="006761FA" w:rsidRPr="00826F9F" w:rsidRDefault="006761FA">
      <w:pPr>
        <w:pStyle w:val="BodyText1"/>
      </w:pPr>
      <w:r w:rsidRPr="00826F9F">
        <w:t xml:space="preserve">Most </w:t>
      </w:r>
      <w:r w:rsidR="009E1193">
        <w:t xml:space="preserve">of the materials </w:t>
      </w:r>
      <w:r w:rsidRPr="00826F9F">
        <w:t xml:space="preserve">submitted </w:t>
      </w:r>
      <w:proofErr w:type="gramStart"/>
      <w:r w:rsidRPr="00826F9F">
        <w:t>were well labelled</w:t>
      </w:r>
      <w:proofErr w:type="gramEnd"/>
      <w:r w:rsidRPr="00826F9F">
        <w:t>, but presentation varied. Soft</w:t>
      </w:r>
      <w:r w:rsidR="000D54BF">
        <w:t>-</w:t>
      </w:r>
      <w:r w:rsidRPr="00826F9F">
        <w:t xml:space="preserve">covered folders </w:t>
      </w:r>
      <w:proofErr w:type="gramStart"/>
      <w:r w:rsidRPr="00826F9F">
        <w:t xml:space="preserve">were </w:t>
      </w:r>
      <w:r w:rsidRPr="009E1193">
        <w:t>generally used</w:t>
      </w:r>
      <w:proofErr w:type="gramEnd"/>
      <w:r w:rsidRPr="009E1193">
        <w:t xml:space="preserve">, </w:t>
      </w:r>
      <w:r w:rsidR="006B4F53">
        <w:t>although</w:t>
      </w:r>
      <w:r w:rsidR="009E1193" w:rsidRPr="009E1193">
        <w:t xml:space="preserve"> </w:t>
      </w:r>
      <w:r w:rsidRPr="009E1193">
        <w:t xml:space="preserve">a simple trio of rings </w:t>
      </w:r>
      <w:r w:rsidR="00B664A9" w:rsidRPr="009E1193">
        <w:t>enabled</w:t>
      </w:r>
      <w:r w:rsidRPr="009E1193">
        <w:t xml:space="preserve"> plastic sleeves to be turned easily.</w:t>
      </w:r>
      <w:r w:rsidR="0087307A" w:rsidRPr="009E1193">
        <w:t xml:space="preserve"> It is important to note that all work to be </w:t>
      </w:r>
      <w:proofErr w:type="gramStart"/>
      <w:r w:rsidR="0087307A" w:rsidRPr="009E1193">
        <w:t>read</w:t>
      </w:r>
      <w:proofErr w:type="gramEnd"/>
      <w:r w:rsidR="0087307A" w:rsidRPr="009E1193">
        <w:t xml:space="preserve"> or moderated must be visible as the folio pages are turned</w:t>
      </w:r>
      <w:r w:rsidR="009E1193" w:rsidRPr="00C87D1C">
        <w:t xml:space="preserve">. Several </w:t>
      </w:r>
      <w:r w:rsidR="0087307A" w:rsidRPr="009E1193">
        <w:t>important pieces</w:t>
      </w:r>
      <w:r w:rsidR="009E1193" w:rsidRPr="00C87D1C">
        <w:t xml:space="preserve"> of student work</w:t>
      </w:r>
      <w:r w:rsidR="0087307A" w:rsidRPr="009E1193">
        <w:t xml:space="preserve"> grouped in the one sleeve </w:t>
      </w:r>
      <w:r w:rsidR="009E1193" w:rsidRPr="00C87D1C">
        <w:t>are</w:t>
      </w:r>
      <w:r w:rsidR="009E1193" w:rsidRPr="009E1193">
        <w:t xml:space="preserve"> </w:t>
      </w:r>
      <w:r w:rsidR="0087307A" w:rsidRPr="009E1193">
        <w:t>not easily detectable</w:t>
      </w:r>
      <w:r w:rsidR="009E1193" w:rsidRPr="00C87D1C">
        <w:t>, and b</w:t>
      </w:r>
      <w:r w:rsidRPr="009E1193">
        <w:t xml:space="preserve">ull-clipped folio work </w:t>
      </w:r>
      <w:r w:rsidR="006B4F53">
        <w:t>is</w:t>
      </w:r>
      <w:r w:rsidRPr="009E1193">
        <w:t xml:space="preserve"> cumbersome. It was evident that schools had read the advice regarding multimodal presentation of materials</w:t>
      </w:r>
      <w:r w:rsidRPr="00826F9F">
        <w:t xml:space="preserve">. In the majority of instances, </w:t>
      </w:r>
      <w:r>
        <w:t xml:space="preserve">the recordings or presentations </w:t>
      </w:r>
      <w:proofErr w:type="gramStart"/>
      <w:r w:rsidRPr="00826F9F">
        <w:t>had been checked</w:t>
      </w:r>
      <w:proofErr w:type="gramEnd"/>
      <w:r w:rsidRPr="00826F9F">
        <w:t xml:space="preserve"> by teachers </w:t>
      </w:r>
      <w:r w:rsidR="006B4F53">
        <w:t>before</w:t>
      </w:r>
      <w:r w:rsidRPr="00826F9F">
        <w:t xml:space="preserve"> packaging, </w:t>
      </w:r>
      <w:r w:rsidR="00A56C56">
        <w:t xml:space="preserve">and </w:t>
      </w:r>
      <w:r w:rsidRPr="00826F9F">
        <w:t>in a format recommended by the SACE Board</w:t>
      </w:r>
      <w:r w:rsidR="0087307A">
        <w:t>.</w:t>
      </w:r>
      <w:r w:rsidRPr="00826F9F">
        <w:t xml:space="preserve"> USB drives were increasingly the chosen means of submission compared to CD or DVD presentations.</w:t>
      </w:r>
    </w:p>
    <w:p w:rsidR="006761FA" w:rsidRDefault="006761FA" w:rsidP="00CE0A71">
      <w:pPr>
        <w:pStyle w:val="BodyText1"/>
        <w:rPr>
          <w:rFonts w:cs="Arial"/>
          <w:szCs w:val="22"/>
        </w:rPr>
      </w:pPr>
      <w:r w:rsidRPr="00826F9F">
        <w:rPr>
          <w:rFonts w:cs="Arial"/>
          <w:szCs w:val="22"/>
        </w:rPr>
        <w:lastRenderedPageBreak/>
        <w:t xml:space="preserve">The majority of schools were also vigilant in de-identifying materials for external marking and had </w:t>
      </w:r>
      <w:r w:rsidR="00A56C56">
        <w:rPr>
          <w:rFonts w:cs="Arial"/>
          <w:szCs w:val="22"/>
        </w:rPr>
        <w:t xml:space="preserve">understood that contracts did not have to </w:t>
      </w:r>
      <w:proofErr w:type="gramStart"/>
      <w:r w:rsidR="00A56C56">
        <w:rPr>
          <w:rFonts w:cs="Arial"/>
          <w:szCs w:val="22"/>
        </w:rPr>
        <w:t>be submitted</w:t>
      </w:r>
      <w:proofErr w:type="gramEnd"/>
      <w:r w:rsidR="00A56C56">
        <w:rPr>
          <w:rFonts w:cs="Arial"/>
          <w:szCs w:val="22"/>
        </w:rPr>
        <w:t xml:space="preserve"> this year. </w:t>
      </w:r>
      <w:r w:rsidR="0087307A">
        <w:rPr>
          <w:rFonts w:cs="Arial"/>
          <w:szCs w:val="22"/>
        </w:rPr>
        <w:t>All student materials for external assessment had the required cover sheet</w:t>
      </w:r>
      <w:r w:rsidR="0000720F">
        <w:rPr>
          <w:rFonts w:cs="Arial"/>
          <w:szCs w:val="22"/>
        </w:rPr>
        <w:t>.</w:t>
      </w:r>
    </w:p>
    <w:p w:rsidR="006761FA" w:rsidRPr="0087307A" w:rsidRDefault="006761FA" w:rsidP="00CE0A71">
      <w:pPr>
        <w:pStyle w:val="Heading2"/>
      </w:pPr>
      <w:r w:rsidRPr="0087307A">
        <w:t>General Comments</w:t>
      </w:r>
    </w:p>
    <w:p w:rsidR="008950A9" w:rsidRDefault="006761FA">
      <w:pPr>
        <w:pStyle w:val="BodyText1"/>
      </w:pPr>
      <w:r w:rsidRPr="00826F9F">
        <w:t>Each year</w:t>
      </w:r>
      <w:r w:rsidR="001F44A6">
        <w:t xml:space="preserve">, </w:t>
      </w:r>
      <w:r w:rsidR="0087307A">
        <w:t xml:space="preserve">some </w:t>
      </w:r>
      <w:r w:rsidRPr="00826F9F">
        <w:t xml:space="preserve">students </w:t>
      </w:r>
      <w:r w:rsidR="007D35DF">
        <w:t>begin</w:t>
      </w:r>
      <w:r w:rsidR="007D35DF" w:rsidRPr="00826F9F">
        <w:t xml:space="preserve"> </w:t>
      </w:r>
      <w:r w:rsidR="007D35DF">
        <w:t xml:space="preserve">studying </w:t>
      </w:r>
      <w:r w:rsidRPr="00826F9F">
        <w:t>a</w:t>
      </w:r>
      <w:r w:rsidR="00864E23">
        <w:t>nother</w:t>
      </w:r>
      <w:r w:rsidRPr="00826F9F">
        <w:t xml:space="preserve"> </w:t>
      </w:r>
      <w:r w:rsidR="007D35DF">
        <w:t xml:space="preserve">SACE </w:t>
      </w:r>
      <w:r w:rsidRPr="00826F9F">
        <w:t xml:space="preserve">subject </w:t>
      </w:r>
      <w:r w:rsidR="007D35DF">
        <w:t xml:space="preserve">and </w:t>
      </w:r>
      <w:r w:rsidR="0087307A">
        <w:t>then</w:t>
      </w:r>
      <w:r w:rsidRPr="00826F9F">
        <w:t xml:space="preserve"> convert</w:t>
      </w:r>
      <w:r w:rsidR="00AE53C7">
        <w:t xml:space="preserve"> the learning from that subject</w:t>
      </w:r>
      <w:r w:rsidRPr="00826F9F">
        <w:t xml:space="preserve"> to Community Studies. Depending on </w:t>
      </w:r>
      <w:r w:rsidR="007D35DF">
        <w:t>when</w:t>
      </w:r>
      <w:r w:rsidRPr="00826F9F">
        <w:t xml:space="preserve"> this decision </w:t>
      </w:r>
      <w:proofErr w:type="gramStart"/>
      <w:r w:rsidRPr="00826F9F">
        <w:t>is made</w:t>
      </w:r>
      <w:proofErr w:type="gramEnd"/>
      <w:r w:rsidRPr="00826F9F">
        <w:t xml:space="preserve">, a </w:t>
      </w:r>
      <w:r w:rsidR="0087307A">
        <w:t xml:space="preserve">student </w:t>
      </w:r>
      <w:r w:rsidRPr="00826F9F">
        <w:t>can gain credit for the work undertaken in the initial subject</w:t>
      </w:r>
      <w:r w:rsidR="0087307A">
        <w:t xml:space="preserve"> through </w:t>
      </w:r>
      <w:r w:rsidR="007D35DF">
        <w:t xml:space="preserve">an </w:t>
      </w:r>
      <w:r w:rsidR="0087307A">
        <w:t>exit assessment. T</w:t>
      </w:r>
      <w:r w:rsidRPr="00826F9F">
        <w:t xml:space="preserve">he student may then choose to </w:t>
      </w:r>
      <w:r w:rsidR="007D35DF">
        <w:t>undertake</w:t>
      </w:r>
      <w:r w:rsidR="007D35DF" w:rsidRPr="00826F9F">
        <w:t xml:space="preserve"> </w:t>
      </w:r>
      <w:r w:rsidRPr="00826F9F">
        <w:t>a separate 10</w:t>
      </w:r>
      <w:r w:rsidR="00864E23">
        <w:noBreakHyphen/>
      </w:r>
      <w:r w:rsidRPr="00826F9F">
        <w:t xml:space="preserve">credit </w:t>
      </w:r>
      <w:r w:rsidR="0087307A">
        <w:t>Community Studies subject.</w:t>
      </w:r>
      <w:r w:rsidR="002B4F66">
        <w:t xml:space="preserve"> </w:t>
      </w:r>
      <w:r w:rsidR="0087307A">
        <w:t xml:space="preserve">If a student wishes to use the learning from the subject from which they have withdrawn, </w:t>
      </w:r>
      <w:r w:rsidRPr="00826F9F">
        <w:t xml:space="preserve">they can only include the sections from that subject that </w:t>
      </w:r>
      <w:proofErr w:type="gramStart"/>
      <w:r w:rsidRPr="00826F9F">
        <w:t>are related</w:t>
      </w:r>
      <w:proofErr w:type="gramEnd"/>
      <w:r w:rsidRPr="00826F9F">
        <w:t xml:space="preserve"> to their newly chosen Community Studies </w:t>
      </w:r>
      <w:r w:rsidR="0087307A">
        <w:t xml:space="preserve">activity. </w:t>
      </w:r>
      <w:r w:rsidR="00BC7A0C" w:rsidRPr="00BC7A0C">
        <w:t>‘</w:t>
      </w:r>
      <w:r w:rsidR="00C52C71" w:rsidRPr="00C52C71">
        <w:t>Using Materials from Another Subject’ is an advice document</w:t>
      </w:r>
      <w:r w:rsidR="007D35DF">
        <w:t xml:space="preserve">, which is </w:t>
      </w:r>
      <w:r w:rsidR="008950A9">
        <w:t xml:space="preserve">available on the Community Studies </w:t>
      </w:r>
      <w:proofErr w:type="spellStart"/>
      <w:r w:rsidR="008950A9">
        <w:t>minisite</w:t>
      </w:r>
      <w:proofErr w:type="spellEnd"/>
      <w:r w:rsidR="008950A9">
        <w:t xml:space="preserve">. </w:t>
      </w:r>
      <w:r w:rsidRPr="00826F9F">
        <w:t>For example</w:t>
      </w:r>
      <w:r w:rsidR="008950A9">
        <w:t>,</w:t>
      </w:r>
      <w:r w:rsidRPr="00826F9F">
        <w:t xml:space="preserve"> </w:t>
      </w:r>
      <w:r w:rsidR="008950A9">
        <w:t xml:space="preserve">a </w:t>
      </w:r>
      <w:r w:rsidRPr="00826F9F">
        <w:t xml:space="preserve">student initially enrolled in </w:t>
      </w:r>
      <w:r w:rsidR="00864E23">
        <w:t xml:space="preserve">Modern </w:t>
      </w:r>
      <w:r w:rsidRPr="00826F9F">
        <w:t xml:space="preserve">History used the hours spent on studying the Great Depression </w:t>
      </w:r>
      <w:proofErr w:type="gramStart"/>
      <w:r w:rsidRPr="00826F9F">
        <w:t>to then investigate</w:t>
      </w:r>
      <w:proofErr w:type="gramEnd"/>
      <w:r w:rsidRPr="00826F9F">
        <w:t xml:space="preserve"> a typical diet and foods during this era</w:t>
      </w:r>
      <w:r w:rsidR="008950A9">
        <w:t xml:space="preserve"> in a Food</w:t>
      </w:r>
      <w:r w:rsidR="004D0608">
        <w:t>s</w:t>
      </w:r>
      <w:r w:rsidR="008950A9">
        <w:t xml:space="preserve"> and the Community unit of work.</w:t>
      </w:r>
      <w:r w:rsidRPr="00826F9F">
        <w:t xml:space="preserve"> </w:t>
      </w:r>
      <w:r w:rsidR="008950A9">
        <w:t>S</w:t>
      </w:r>
      <w:r w:rsidRPr="00826F9F">
        <w:t>tudents</w:t>
      </w:r>
      <w:r w:rsidR="008950A9">
        <w:t xml:space="preserve"> are strongly advised</w:t>
      </w:r>
      <w:r w:rsidRPr="00826F9F">
        <w:t xml:space="preserve"> to </w:t>
      </w:r>
      <w:r w:rsidR="007D35DF">
        <w:t>begin</w:t>
      </w:r>
      <w:r w:rsidR="007D35DF" w:rsidRPr="00826F9F">
        <w:t xml:space="preserve"> </w:t>
      </w:r>
      <w:r w:rsidRPr="00826F9F">
        <w:t>their Community Studies early if they are withdrawing from another subject, thus enabling them to gain grades commensurate with their abilities.</w:t>
      </w:r>
    </w:p>
    <w:p w:rsidR="006761FA" w:rsidRDefault="006761FA" w:rsidP="00CE0A71">
      <w:pPr>
        <w:pStyle w:val="BodyText1"/>
      </w:pPr>
      <w:r w:rsidRPr="00826F9F">
        <w:t xml:space="preserve">Students undertaking VET studies need </w:t>
      </w:r>
      <w:proofErr w:type="gramStart"/>
      <w:r w:rsidRPr="00826F9F">
        <w:t>to clearly delineate</w:t>
      </w:r>
      <w:proofErr w:type="gramEnd"/>
      <w:r w:rsidRPr="00826F9F">
        <w:t xml:space="preserve"> this work from their chosen </w:t>
      </w:r>
      <w:r w:rsidR="00864E23">
        <w:t>c</w:t>
      </w:r>
      <w:r w:rsidRPr="00826F9F">
        <w:t xml:space="preserve">ommunity </w:t>
      </w:r>
      <w:r w:rsidR="008950A9">
        <w:t>activity.</w:t>
      </w:r>
    </w:p>
    <w:p w:rsidR="00BB0A6C" w:rsidRDefault="00BB0A6C">
      <w:pPr>
        <w:pStyle w:val="BodyText1"/>
      </w:pPr>
      <w:r>
        <w:t xml:space="preserve">Teachers are strongly encouraged to visit the Community Studies </w:t>
      </w:r>
      <w:proofErr w:type="spellStart"/>
      <w:r>
        <w:t>minisite</w:t>
      </w:r>
      <w:proofErr w:type="spellEnd"/>
      <w:r>
        <w:t xml:space="preserve"> for support materials. </w:t>
      </w:r>
      <w:r w:rsidR="00BC7A0C">
        <w:t>I</w:t>
      </w:r>
      <w:r w:rsidR="008E2C21">
        <w:t>n 2015</w:t>
      </w:r>
      <w:r w:rsidR="007E3283">
        <w:t>,</w:t>
      </w:r>
      <w:r>
        <w:t xml:space="preserve"> a video will be available</w:t>
      </w:r>
      <w:r w:rsidR="007E3283">
        <w:t xml:space="preserve">, which provides </w:t>
      </w:r>
      <w:r>
        <w:t>some useful material to support teachers to guide their students in the successful completion of a Community Studies subject.</w:t>
      </w:r>
    </w:p>
    <w:p w:rsidR="00BB0A6C" w:rsidRDefault="00BB0A6C" w:rsidP="00CE0A71">
      <w:pPr>
        <w:pStyle w:val="BodyText1"/>
      </w:pPr>
      <w:r>
        <w:t xml:space="preserve">A breakdown of enrolments in 2014 </w:t>
      </w:r>
      <w:proofErr w:type="gramStart"/>
      <w:r>
        <w:t xml:space="preserve">is </w:t>
      </w:r>
      <w:r w:rsidR="00864E23">
        <w:t>shown</w:t>
      </w:r>
      <w:proofErr w:type="gramEnd"/>
      <w:r>
        <w:t xml:space="preserve"> in the table below. 20</w:t>
      </w:r>
      <w:r w:rsidR="00864E23">
        <w:noBreakHyphen/>
      </w:r>
      <w:r>
        <w:t>credit subjects have continued to represent the majority of enrolments</w:t>
      </w:r>
      <w:r w:rsidR="00864E23">
        <w:t>,</w:t>
      </w:r>
      <w:r>
        <w:t xml:space="preserve"> with Work and the Community</w:t>
      </w:r>
      <w:r w:rsidR="00864E23">
        <w:t>;</w:t>
      </w:r>
      <w:r>
        <w:t xml:space="preserve"> Health, Recreation, and the Community</w:t>
      </w:r>
      <w:r w:rsidR="00864E23">
        <w:t>;</w:t>
      </w:r>
      <w:r>
        <w:t xml:space="preserve"> and Arts and the Community continuing to be the </w:t>
      </w:r>
      <w:r w:rsidR="00864E23">
        <w:t xml:space="preserve">most </w:t>
      </w:r>
      <w:r>
        <w:t>popular choices</w:t>
      </w:r>
      <w:r w:rsidR="00864E23">
        <w:t xml:space="preserve"> for area of study</w:t>
      </w:r>
      <w:r>
        <w:t>.</w:t>
      </w:r>
    </w:p>
    <w:tbl>
      <w:tblPr>
        <w:tblW w:w="7500"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060"/>
        <w:gridCol w:w="4025"/>
        <w:gridCol w:w="655"/>
        <w:gridCol w:w="880"/>
        <w:gridCol w:w="880"/>
      </w:tblGrid>
      <w:tr w:rsidR="00BB0A6C" w:rsidTr="00BC7A0C">
        <w:trPr>
          <w:trHeight w:hRule="exact" w:val="397"/>
          <w:tblHeader/>
        </w:trPr>
        <w:tc>
          <w:tcPr>
            <w:tcW w:w="5085" w:type="dxa"/>
            <w:gridSpan w:val="2"/>
            <w:tcBorders>
              <w:bottom w:val="nil"/>
            </w:tcBorders>
            <w:tcMar>
              <w:top w:w="0" w:type="dxa"/>
              <w:left w:w="108" w:type="dxa"/>
              <w:bottom w:w="0" w:type="dxa"/>
              <w:right w:w="108" w:type="dxa"/>
            </w:tcMar>
            <w:vAlign w:val="center"/>
          </w:tcPr>
          <w:p w:rsidR="00BB0A6C" w:rsidRDefault="00BB0A6C">
            <w:pPr>
              <w:rPr>
                <w:sz w:val="20"/>
                <w:lang w:eastAsia="en-AU"/>
              </w:rPr>
            </w:pPr>
          </w:p>
        </w:tc>
        <w:tc>
          <w:tcPr>
            <w:tcW w:w="1535" w:type="dxa"/>
            <w:gridSpan w:val="2"/>
            <w:tcBorders>
              <w:bottom w:val="nil"/>
            </w:tcBorders>
            <w:tcMar>
              <w:top w:w="0" w:type="dxa"/>
              <w:left w:w="108" w:type="dxa"/>
              <w:bottom w:w="0" w:type="dxa"/>
              <w:right w:w="108" w:type="dxa"/>
            </w:tcMar>
            <w:vAlign w:val="center"/>
            <w:hideMark/>
          </w:tcPr>
          <w:p w:rsidR="00BB0A6C" w:rsidRDefault="00BC7A0C">
            <w:pPr>
              <w:jc w:val="center"/>
              <w:rPr>
                <w:rFonts w:ascii="Arial" w:eastAsiaTheme="minorHAnsi" w:hAnsi="Arial" w:cs="Arial"/>
                <w:b/>
                <w:bCs/>
                <w:color w:val="000000"/>
                <w:sz w:val="20"/>
                <w:lang w:eastAsia="en-AU"/>
              </w:rPr>
            </w:pPr>
            <w:r>
              <w:rPr>
                <w:rFonts w:ascii="Arial" w:hAnsi="Arial" w:cs="Arial"/>
                <w:b/>
                <w:bCs/>
                <w:color w:val="000000"/>
                <w:sz w:val="20"/>
                <w:lang w:eastAsia="en-AU"/>
              </w:rPr>
              <w:t xml:space="preserve">     </w:t>
            </w:r>
            <w:r w:rsidR="00BB0A6C">
              <w:rPr>
                <w:rFonts w:ascii="Arial" w:hAnsi="Arial" w:cs="Arial"/>
                <w:b/>
                <w:bCs/>
                <w:color w:val="000000"/>
                <w:sz w:val="20"/>
                <w:lang w:eastAsia="en-AU"/>
              </w:rPr>
              <w:t>Gender</w:t>
            </w:r>
          </w:p>
        </w:tc>
        <w:tc>
          <w:tcPr>
            <w:tcW w:w="880" w:type="dxa"/>
            <w:tcBorders>
              <w:bottom w:val="nil"/>
            </w:tcBorders>
            <w:tcMar>
              <w:top w:w="0" w:type="dxa"/>
              <w:left w:w="108" w:type="dxa"/>
              <w:bottom w:w="0" w:type="dxa"/>
              <w:right w:w="108" w:type="dxa"/>
            </w:tcMar>
            <w:vAlign w:val="center"/>
            <w:hideMark/>
          </w:tcPr>
          <w:p w:rsidR="00BB0A6C" w:rsidRDefault="00DA5348">
            <w:pPr>
              <w:jc w:val="center"/>
              <w:rPr>
                <w:rFonts w:ascii="Arial" w:eastAsiaTheme="minorHAnsi" w:hAnsi="Arial" w:cs="Arial"/>
                <w:b/>
                <w:bCs/>
                <w:color w:val="000000"/>
                <w:sz w:val="20"/>
                <w:lang w:eastAsia="en-AU"/>
              </w:rPr>
            </w:pPr>
            <w:r>
              <w:rPr>
                <w:rFonts w:ascii="Arial" w:hAnsi="Arial" w:cs="Arial"/>
                <w:b/>
                <w:bCs/>
                <w:color w:val="000000"/>
                <w:sz w:val="20"/>
                <w:lang w:eastAsia="en-AU"/>
              </w:rPr>
              <w:t xml:space="preserve"> </w:t>
            </w:r>
            <w:r w:rsidR="00BB0A6C">
              <w:rPr>
                <w:rFonts w:ascii="Arial" w:hAnsi="Arial" w:cs="Arial"/>
                <w:b/>
                <w:bCs/>
                <w:color w:val="000000"/>
                <w:sz w:val="20"/>
                <w:lang w:eastAsia="en-AU"/>
              </w:rPr>
              <w:t>Grand</w:t>
            </w:r>
          </w:p>
        </w:tc>
      </w:tr>
      <w:tr w:rsidR="00BB0A6C" w:rsidTr="00BC7A0C">
        <w:trPr>
          <w:trHeight w:val="285"/>
          <w:tblHeader/>
        </w:trPr>
        <w:tc>
          <w:tcPr>
            <w:tcW w:w="1060" w:type="dxa"/>
            <w:tcBorders>
              <w:top w:val="nil"/>
            </w:tcBorders>
            <w:tcMar>
              <w:top w:w="0" w:type="dxa"/>
              <w:left w:w="108" w:type="dxa"/>
              <w:bottom w:w="0" w:type="dxa"/>
              <w:right w:w="108" w:type="dxa"/>
            </w:tcMar>
            <w:vAlign w:val="center"/>
            <w:hideMark/>
          </w:tcPr>
          <w:p w:rsidR="00BB0A6C" w:rsidRDefault="00BB0A6C">
            <w:pPr>
              <w:rPr>
                <w:rFonts w:ascii="Arial" w:eastAsiaTheme="minorHAnsi" w:hAnsi="Arial" w:cs="Arial"/>
                <w:b/>
                <w:bCs/>
                <w:color w:val="000000"/>
                <w:sz w:val="20"/>
                <w:lang w:eastAsia="en-AU"/>
              </w:rPr>
            </w:pPr>
            <w:r>
              <w:rPr>
                <w:rFonts w:ascii="Arial" w:hAnsi="Arial" w:cs="Arial"/>
                <w:b/>
                <w:bCs/>
                <w:color w:val="000000"/>
                <w:sz w:val="20"/>
                <w:lang w:eastAsia="en-AU"/>
              </w:rPr>
              <w:t>Code</w:t>
            </w:r>
          </w:p>
        </w:tc>
        <w:tc>
          <w:tcPr>
            <w:tcW w:w="4025" w:type="dxa"/>
            <w:tcBorders>
              <w:top w:val="nil"/>
            </w:tcBorders>
            <w:tcMar>
              <w:top w:w="0" w:type="dxa"/>
              <w:left w:w="108" w:type="dxa"/>
              <w:bottom w:w="0" w:type="dxa"/>
              <w:right w:w="108" w:type="dxa"/>
            </w:tcMar>
            <w:vAlign w:val="center"/>
            <w:hideMark/>
          </w:tcPr>
          <w:p w:rsidR="00BB0A6C" w:rsidRDefault="00BB0A6C">
            <w:pPr>
              <w:rPr>
                <w:rFonts w:ascii="Arial" w:eastAsiaTheme="minorHAnsi" w:hAnsi="Arial" w:cs="Arial"/>
                <w:b/>
                <w:bCs/>
                <w:color w:val="000000"/>
                <w:sz w:val="20"/>
                <w:lang w:eastAsia="en-AU"/>
              </w:rPr>
            </w:pPr>
            <w:r>
              <w:rPr>
                <w:rFonts w:ascii="Arial" w:hAnsi="Arial" w:cs="Arial"/>
                <w:b/>
                <w:bCs/>
                <w:color w:val="000000"/>
                <w:sz w:val="20"/>
                <w:lang w:eastAsia="en-AU"/>
              </w:rPr>
              <w:t>Subject</w:t>
            </w:r>
          </w:p>
        </w:tc>
        <w:tc>
          <w:tcPr>
            <w:tcW w:w="655" w:type="dxa"/>
            <w:tcBorders>
              <w:top w:val="nil"/>
            </w:tcBorders>
            <w:tcMar>
              <w:top w:w="0" w:type="dxa"/>
              <w:left w:w="108" w:type="dxa"/>
              <w:bottom w:w="0" w:type="dxa"/>
              <w:right w:w="108" w:type="dxa"/>
            </w:tcMar>
            <w:vAlign w:val="center"/>
            <w:hideMark/>
          </w:tcPr>
          <w:p w:rsidR="00BB0A6C" w:rsidRDefault="00BB0A6C">
            <w:pPr>
              <w:jc w:val="right"/>
              <w:rPr>
                <w:rFonts w:ascii="Arial" w:eastAsiaTheme="minorHAnsi" w:hAnsi="Arial" w:cs="Arial"/>
                <w:b/>
                <w:bCs/>
                <w:color w:val="000000"/>
                <w:sz w:val="20"/>
                <w:lang w:eastAsia="en-AU"/>
              </w:rPr>
            </w:pPr>
            <w:r>
              <w:rPr>
                <w:rFonts w:ascii="Arial" w:hAnsi="Arial" w:cs="Arial"/>
                <w:b/>
                <w:bCs/>
                <w:color w:val="000000"/>
                <w:sz w:val="20"/>
                <w:lang w:eastAsia="en-AU"/>
              </w:rPr>
              <w:t>F</w:t>
            </w:r>
          </w:p>
        </w:tc>
        <w:tc>
          <w:tcPr>
            <w:tcW w:w="880" w:type="dxa"/>
            <w:tcBorders>
              <w:top w:val="nil"/>
            </w:tcBorders>
            <w:tcMar>
              <w:top w:w="0" w:type="dxa"/>
              <w:left w:w="108" w:type="dxa"/>
              <w:bottom w:w="0" w:type="dxa"/>
              <w:right w:w="108" w:type="dxa"/>
            </w:tcMar>
            <w:vAlign w:val="center"/>
            <w:hideMark/>
          </w:tcPr>
          <w:p w:rsidR="00BB0A6C" w:rsidRDefault="00BB0A6C">
            <w:pPr>
              <w:jc w:val="right"/>
              <w:rPr>
                <w:rFonts w:ascii="Arial" w:eastAsiaTheme="minorHAnsi" w:hAnsi="Arial" w:cs="Arial"/>
                <w:b/>
                <w:bCs/>
                <w:color w:val="000000"/>
                <w:sz w:val="20"/>
                <w:lang w:eastAsia="en-AU"/>
              </w:rPr>
            </w:pPr>
            <w:r>
              <w:rPr>
                <w:rFonts w:ascii="Arial" w:hAnsi="Arial" w:cs="Arial"/>
                <w:b/>
                <w:bCs/>
                <w:color w:val="000000"/>
                <w:sz w:val="20"/>
                <w:lang w:eastAsia="en-AU"/>
              </w:rPr>
              <w:t>M</w:t>
            </w:r>
          </w:p>
        </w:tc>
        <w:tc>
          <w:tcPr>
            <w:tcW w:w="880" w:type="dxa"/>
            <w:tcBorders>
              <w:top w:val="nil"/>
            </w:tcBorders>
            <w:tcMar>
              <w:top w:w="0" w:type="dxa"/>
              <w:left w:w="108" w:type="dxa"/>
              <w:bottom w:w="0" w:type="dxa"/>
              <w:right w:w="108" w:type="dxa"/>
            </w:tcMar>
            <w:vAlign w:val="center"/>
            <w:hideMark/>
          </w:tcPr>
          <w:p w:rsidR="00BB0A6C" w:rsidRDefault="00BB0A6C">
            <w:pPr>
              <w:jc w:val="right"/>
              <w:rPr>
                <w:rFonts w:ascii="Arial" w:eastAsiaTheme="minorHAnsi" w:hAnsi="Arial" w:cs="Arial"/>
                <w:b/>
                <w:bCs/>
                <w:color w:val="000000"/>
                <w:sz w:val="20"/>
                <w:lang w:eastAsia="en-AU"/>
              </w:rPr>
            </w:pPr>
            <w:r>
              <w:rPr>
                <w:rFonts w:ascii="Arial" w:hAnsi="Arial" w:cs="Arial"/>
                <w:b/>
                <w:bCs/>
                <w:color w:val="000000"/>
                <w:sz w:val="20"/>
                <w:lang w:eastAsia="en-AU"/>
              </w:rPr>
              <w:t>Total</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2AAY10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Arts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9</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8</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17</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2AAY20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Arts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160</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90</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250</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2CAY10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Communication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6</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7</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2CAY20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Communication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58</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79</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137</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2FAY10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Foods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9</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4</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13</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2FAY20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Foods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78</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66</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144</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2HAY10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Health, Recreation,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7</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8</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15</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2HAY20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Health, Recreation,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95</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167</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262</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2NAY10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Science, Technology</w:t>
            </w:r>
            <w:r w:rsidR="004D0608">
              <w:rPr>
                <w:rFonts w:ascii="Arial" w:hAnsi="Arial" w:cs="Arial"/>
                <w:color w:val="000000"/>
                <w:sz w:val="20"/>
                <w:lang w:eastAsia="en-AU"/>
              </w:rPr>
              <w:t>,</w:t>
            </w:r>
            <w:r>
              <w:rPr>
                <w:rFonts w:ascii="Arial" w:hAnsi="Arial" w:cs="Arial"/>
                <w:color w:val="000000"/>
                <w:sz w:val="20"/>
                <w:lang w:eastAsia="en-AU"/>
              </w:rPr>
              <w:t xml:space="preserve">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0</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w:t>
            </w:r>
          </w:p>
        </w:tc>
      </w:tr>
      <w:tr w:rsidR="00BB0A6C" w:rsidTr="004D0608">
        <w:trPr>
          <w:trHeight w:val="285"/>
        </w:trPr>
        <w:tc>
          <w:tcPr>
            <w:tcW w:w="1060"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2NAY20</w:t>
            </w:r>
          </w:p>
        </w:tc>
        <w:tc>
          <w:tcPr>
            <w:tcW w:w="4025" w:type="dxa"/>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Science, Technology</w:t>
            </w:r>
            <w:r w:rsidR="004D0608">
              <w:rPr>
                <w:rFonts w:ascii="Arial" w:hAnsi="Arial" w:cs="Arial"/>
                <w:color w:val="000000"/>
                <w:sz w:val="20"/>
                <w:lang w:eastAsia="en-AU"/>
              </w:rPr>
              <w:t>,</w:t>
            </w:r>
            <w:r>
              <w:rPr>
                <w:rFonts w:ascii="Arial" w:hAnsi="Arial" w:cs="Arial"/>
                <w:color w:val="000000"/>
                <w:sz w:val="20"/>
                <w:lang w:eastAsia="en-AU"/>
              </w:rPr>
              <w:t xml:space="preserve"> and the Community</w:t>
            </w:r>
          </w:p>
        </w:tc>
        <w:tc>
          <w:tcPr>
            <w:tcW w:w="655"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26</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100</w:t>
            </w:r>
          </w:p>
        </w:tc>
        <w:tc>
          <w:tcPr>
            <w:tcW w:w="880" w:type="dxa"/>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126</w:t>
            </w:r>
          </w:p>
        </w:tc>
      </w:tr>
      <w:tr w:rsidR="00BB0A6C" w:rsidTr="00DA5348">
        <w:trPr>
          <w:trHeight w:val="285"/>
        </w:trPr>
        <w:tc>
          <w:tcPr>
            <w:tcW w:w="1060" w:type="dxa"/>
            <w:tcBorders>
              <w:bottom w:val="single" w:sz="4" w:space="0" w:color="auto"/>
            </w:tcBorders>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2WAY10</w:t>
            </w:r>
          </w:p>
        </w:tc>
        <w:tc>
          <w:tcPr>
            <w:tcW w:w="4025" w:type="dxa"/>
            <w:tcBorders>
              <w:bottom w:val="single" w:sz="4" w:space="0" w:color="auto"/>
            </w:tcBorders>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Work and the Community</w:t>
            </w:r>
          </w:p>
        </w:tc>
        <w:tc>
          <w:tcPr>
            <w:tcW w:w="655"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14</w:t>
            </w:r>
          </w:p>
        </w:tc>
        <w:tc>
          <w:tcPr>
            <w:tcW w:w="880"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6</w:t>
            </w:r>
          </w:p>
        </w:tc>
        <w:tc>
          <w:tcPr>
            <w:tcW w:w="880"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20</w:t>
            </w:r>
          </w:p>
        </w:tc>
      </w:tr>
      <w:tr w:rsidR="00BB0A6C" w:rsidTr="00DA5348">
        <w:trPr>
          <w:trHeight w:val="285"/>
        </w:trPr>
        <w:tc>
          <w:tcPr>
            <w:tcW w:w="1060" w:type="dxa"/>
            <w:tcBorders>
              <w:bottom w:val="single" w:sz="4" w:space="0" w:color="auto"/>
            </w:tcBorders>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2WAY20</w:t>
            </w:r>
          </w:p>
        </w:tc>
        <w:tc>
          <w:tcPr>
            <w:tcW w:w="4025" w:type="dxa"/>
            <w:tcBorders>
              <w:bottom w:val="single" w:sz="4" w:space="0" w:color="auto"/>
            </w:tcBorders>
            <w:tcMar>
              <w:top w:w="0" w:type="dxa"/>
              <w:left w:w="108" w:type="dxa"/>
              <w:bottom w:w="0" w:type="dxa"/>
              <w:right w:w="108" w:type="dxa"/>
            </w:tcMar>
            <w:vAlign w:val="center"/>
            <w:hideMark/>
          </w:tcPr>
          <w:p w:rsidR="00BB0A6C" w:rsidRDefault="00BB0A6C">
            <w:pPr>
              <w:rPr>
                <w:rFonts w:ascii="Arial" w:eastAsiaTheme="minorHAnsi" w:hAnsi="Arial" w:cs="Arial"/>
                <w:color w:val="000000"/>
                <w:sz w:val="20"/>
                <w:lang w:eastAsia="en-AU"/>
              </w:rPr>
            </w:pPr>
            <w:r>
              <w:rPr>
                <w:rFonts w:ascii="Arial" w:hAnsi="Arial" w:cs="Arial"/>
                <w:color w:val="000000"/>
                <w:sz w:val="20"/>
                <w:lang w:eastAsia="en-AU"/>
              </w:rPr>
              <w:t>Work and the Community</w:t>
            </w:r>
          </w:p>
        </w:tc>
        <w:tc>
          <w:tcPr>
            <w:tcW w:w="655"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148</w:t>
            </w:r>
          </w:p>
        </w:tc>
        <w:tc>
          <w:tcPr>
            <w:tcW w:w="880"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172</w:t>
            </w:r>
          </w:p>
        </w:tc>
        <w:tc>
          <w:tcPr>
            <w:tcW w:w="880" w:type="dxa"/>
            <w:tcBorders>
              <w:bottom w:val="single" w:sz="4" w:space="0" w:color="auto"/>
            </w:tcBorders>
            <w:tcMar>
              <w:top w:w="0" w:type="dxa"/>
              <w:left w:w="108" w:type="dxa"/>
              <w:bottom w:w="0" w:type="dxa"/>
              <w:right w:w="108" w:type="dxa"/>
            </w:tcMar>
            <w:vAlign w:val="center"/>
            <w:hideMark/>
          </w:tcPr>
          <w:p w:rsidR="00BB0A6C" w:rsidRDefault="00BB0A6C">
            <w:pPr>
              <w:jc w:val="right"/>
              <w:rPr>
                <w:rFonts w:ascii="Arial" w:eastAsiaTheme="minorHAnsi" w:hAnsi="Arial" w:cs="Arial"/>
                <w:color w:val="000000"/>
                <w:sz w:val="20"/>
                <w:lang w:eastAsia="en-AU"/>
              </w:rPr>
            </w:pPr>
            <w:r>
              <w:rPr>
                <w:rFonts w:ascii="Arial" w:hAnsi="Arial" w:cs="Arial"/>
                <w:color w:val="000000"/>
                <w:sz w:val="20"/>
                <w:lang w:eastAsia="en-AU"/>
              </w:rPr>
              <w:t>320</w:t>
            </w:r>
          </w:p>
        </w:tc>
      </w:tr>
    </w:tbl>
    <w:p w:rsidR="00126A41" w:rsidRDefault="00126A41" w:rsidP="006761FA">
      <w:pPr>
        <w:spacing w:line="276" w:lineRule="auto"/>
        <w:rPr>
          <w:rFonts w:ascii="Arial" w:hAnsi="Arial" w:cs="Arial"/>
          <w:szCs w:val="22"/>
        </w:rPr>
      </w:pPr>
    </w:p>
    <w:p w:rsidR="006761FA" w:rsidRPr="00826F9F" w:rsidRDefault="006761FA" w:rsidP="006761FA">
      <w:pPr>
        <w:spacing w:line="276" w:lineRule="auto"/>
        <w:rPr>
          <w:rFonts w:ascii="Arial" w:hAnsi="Arial" w:cs="Arial"/>
          <w:szCs w:val="22"/>
        </w:rPr>
      </w:pPr>
      <w:r w:rsidRPr="00826F9F">
        <w:rPr>
          <w:rFonts w:ascii="Arial" w:hAnsi="Arial" w:cs="Arial"/>
          <w:szCs w:val="22"/>
        </w:rPr>
        <w:t>Community Studies</w:t>
      </w:r>
    </w:p>
    <w:p w:rsidR="00EC167A" w:rsidRDefault="006761FA">
      <w:pPr>
        <w:spacing w:line="276" w:lineRule="auto"/>
        <w:rPr>
          <w:rFonts w:ascii="Arial" w:hAnsi="Arial" w:cs="Arial"/>
          <w:szCs w:val="22"/>
        </w:rPr>
      </w:pPr>
      <w:r w:rsidRPr="00EF31AB">
        <w:rPr>
          <w:rFonts w:ascii="Arial" w:hAnsi="Arial" w:cs="Arial"/>
          <w:szCs w:val="22"/>
        </w:rPr>
        <w:t>Chief Assessor</w:t>
      </w:r>
    </w:p>
    <w:sectPr w:rsidR="00EC167A" w:rsidSect="003C7581">
      <w:footerReference w:type="default" r:id="rId13"/>
      <w:headerReference w:type="first" r:id="rId14"/>
      <w:footerReference w:type="first" r:id="rId15"/>
      <w:pgSz w:w="11907" w:h="16840" w:code="9"/>
      <w:pgMar w:top="1440" w:right="1797" w:bottom="1440" w:left="1797"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5746" w:rsidRDefault="00355746">
      <w:r>
        <w:separator/>
      </w:r>
    </w:p>
  </w:endnote>
  <w:endnote w:type="continuationSeparator" w:id="0">
    <w:p w:rsidR="00355746" w:rsidRDefault="0035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52C71">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C52C71">
    <w:pPr>
      <w:pStyle w:val="Footer"/>
      <w:framePr w:wrap="around" w:vAnchor="text" w:hAnchor="margin" w:xAlign="center" w:y="1"/>
      <w:rPr>
        <w:rStyle w:val="PageNumber"/>
      </w:rPr>
    </w:pPr>
    <w:r>
      <w:rPr>
        <w:rStyle w:val="PageNumber"/>
      </w:rPr>
      <w:fldChar w:fldCharType="begin"/>
    </w:r>
    <w:r w:rsidR="001A0F23">
      <w:rPr>
        <w:rStyle w:val="PageNumber"/>
      </w:rPr>
      <w:instrText xml:space="preserve">PAGE  </w:instrText>
    </w:r>
    <w:r>
      <w:rPr>
        <w:rStyle w:val="PageNumber"/>
      </w:rPr>
      <w:fldChar w:fldCharType="separate"/>
    </w:r>
    <w:r w:rsidR="001A0F23">
      <w:rPr>
        <w:rStyle w:val="PageNumber"/>
        <w:noProof/>
      </w:rPr>
      <w:t>1</w:t>
    </w:r>
    <w:r>
      <w:rPr>
        <w:rStyle w:val="PageNumber"/>
      </w:rPr>
      <w:fldChar w:fldCharType="end"/>
    </w:r>
  </w:p>
  <w:p w:rsidR="001A0F23" w:rsidRDefault="001A0F23">
    <w:pPr>
      <w:pStyle w:val="Footer"/>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Pr="005B1FDF" w:rsidRDefault="00884643" w:rsidP="000A7E3A">
    <w:pPr>
      <w:pStyle w:val="Footer"/>
      <w:tabs>
        <w:tab w:val="clear" w:pos="4153"/>
      </w:tabs>
      <w:ind w:right="91"/>
      <w:rPr>
        <w:rFonts w:ascii="Arial" w:hAnsi="Arial" w:cs="Arial"/>
        <w:sz w:val="18"/>
        <w:szCs w:val="18"/>
        <w:lang w:val="en-US"/>
      </w:rPr>
    </w:pPr>
    <w:r w:rsidRPr="00C22317">
      <w:rPr>
        <w:rFonts w:ascii="Arial" w:hAnsi="Arial" w:cs="Arial"/>
        <w:sz w:val="18"/>
        <w:szCs w:val="18"/>
        <w:lang w:val="en-US"/>
      </w:rPr>
      <w:t>Community Studies</w:t>
    </w:r>
    <w:r w:rsidR="009C1816" w:rsidRPr="00C22317">
      <w:rPr>
        <w:rFonts w:ascii="Arial" w:hAnsi="Arial" w:cs="Arial"/>
        <w:sz w:val="18"/>
        <w:szCs w:val="18"/>
        <w:lang w:val="en-US"/>
      </w:rPr>
      <w:t xml:space="preserve"> </w:t>
    </w:r>
    <w:r w:rsidR="008D4935">
      <w:rPr>
        <w:rFonts w:ascii="Arial" w:hAnsi="Arial" w:cs="Arial"/>
        <w:sz w:val="18"/>
        <w:szCs w:val="18"/>
        <w:lang w:val="en-US"/>
      </w:rPr>
      <w:t xml:space="preserve">2014 </w:t>
    </w:r>
    <w:r w:rsidR="000A7E3A">
      <w:rPr>
        <w:rFonts w:ascii="Arial" w:hAnsi="Arial" w:cs="Arial"/>
        <w:sz w:val="18"/>
        <w:szCs w:val="18"/>
        <w:lang w:val="en-US"/>
      </w:rPr>
      <w:t>Chief Assessor’s</w:t>
    </w:r>
    <w:r w:rsidR="009C1816">
      <w:rPr>
        <w:rFonts w:ascii="Arial" w:hAnsi="Arial" w:cs="Arial"/>
        <w:sz w:val="18"/>
        <w:szCs w:val="18"/>
        <w:lang w:val="en-US"/>
      </w:rPr>
      <w:t xml:space="preserve"> Report</w:t>
    </w:r>
    <w:r w:rsidR="009C1816">
      <w:rPr>
        <w:rFonts w:ascii="Arial" w:hAnsi="Arial" w:cs="Arial"/>
        <w:sz w:val="18"/>
        <w:szCs w:val="18"/>
        <w:lang w:val="en-US"/>
      </w:rPr>
      <w:tab/>
    </w:r>
    <w:r w:rsidR="009C1816" w:rsidRPr="005B1FDF">
      <w:rPr>
        <w:rFonts w:ascii="Arial" w:hAnsi="Arial" w:cs="Arial"/>
        <w:sz w:val="18"/>
        <w:szCs w:val="18"/>
        <w:lang w:val="en-US"/>
      </w:rPr>
      <w:t xml:space="preserve">Page </w:t>
    </w:r>
    <w:r w:rsidR="00C52C71"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PAGE </w:instrText>
    </w:r>
    <w:r w:rsidR="00C52C71" w:rsidRPr="005B1FDF">
      <w:rPr>
        <w:rFonts w:ascii="Arial" w:hAnsi="Arial" w:cs="Arial"/>
        <w:sz w:val="18"/>
        <w:szCs w:val="18"/>
        <w:lang w:val="en-US"/>
      </w:rPr>
      <w:fldChar w:fldCharType="separate"/>
    </w:r>
    <w:r w:rsidR="00C87D1C">
      <w:rPr>
        <w:rFonts w:ascii="Arial" w:hAnsi="Arial" w:cs="Arial"/>
        <w:noProof/>
        <w:sz w:val="18"/>
        <w:szCs w:val="18"/>
        <w:lang w:val="en-US"/>
      </w:rPr>
      <w:t>6</w:t>
    </w:r>
    <w:r w:rsidR="00C52C71" w:rsidRPr="005B1FDF">
      <w:rPr>
        <w:rFonts w:ascii="Arial" w:hAnsi="Arial" w:cs="Arial"/>
        <w:sz w:val="18"/>
        <w:szCs w:val="18"/>
        <w:lang w:val="en-US"/>
      </w:rPr>
      <w:fldChar w:fldCharType="end"/>
    </w:r>
    <w:r w:rsidR="009C1816" w:rsidRPr="005B1FDF">
      <w:rPr>
        <w:rFonts w:ascii="Arial" w:hAnsi="Arial" w:cs="Arial"/>
        <w:sz w:val="18"/>
        <w:szCs w:val="18"/>
        <w:lang w:val="en-US"/>
      </w:rPr>
      <w:t xml:space="preserve"> of </w:t>
    </w:r>
    <w:r w:rsidR="00C52C71" w:rsidRPr="005B1FDF">
      <w:rPr>
        <w:rFonts w:ascii="Arial" w:hAnsi="Arial" w:cs="Arial"/>
        <w:sz w:val="18"/>
        <w:szCs w:val="18"/>
        <w:lang w:val="en-US"/>
      </w:rPr>
      <w:fldChar w:fldCharType="begin"/>
    </w:r>
    <w:r w:rsidR="009C1816" w:rsidRPr="005B1FDF">
      <w:rPr>
        <w:rFonts w:ascii="Arial" w:hAnsi="Arial" w:cs="Arial"/>
        <w:sz w:val="18"/>
        <w:szCs w:val="18"/>
        <w:lang w:val="en-US"/>
      </w:rPr>
      <w:instrText xml:space="preserve"> NUMPAGES </w:instrText>
    </w:r>
    <w:r w:rsidR="00C52C71" w:rsidRPr="005B1FDF">
      <w:rPr>
        <w:rFonts w:ascii="Arial" w:hAnsi="Arial" w:cs="Arial"/>
        <w:sz w:val="18"/>
        <w:szCs w:val="18"/>
        <w:lang w:val="en-US"/>
      </w:rPr>
      <w:fldChar w:fldCharType="separate"/>
    </w:r>
    <w:r w:rsidR="00C87D1C">
      <w:rPr>
        <w:rFonts w:ascii="Arial" w:hAnsi="Arial" w:cs="Arial"/>
        <w:noProof/>
        <w:sz w:val="18"/>
        <w:szCs w:val="18"/>
        <w:lang w:val="en-US"/>
      </w:rPr>
      <w:t>6</w:t>
    </w:r>
    <w:r w:rsidR="00C52C71" w:rsidRPr="005B1FDF">
      <w:rPr>
        <w:rFonts w:ascii="Arial" w:hAnsi="Arial" w:cs="Arial"/>
        <w:sz w:val="18"/>
        <w:szCs w:val="18"/>
        <w:lang w:val="en-U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C52C71">
    <w:pPr>
      <w:pStyle w:val="Footer"/>
      <w:framePr w:wrap="around" w:vAnchor="text" w:hAnchor="margin" w:xAlign="center" w:y="1"/>
      <w:rPr>
        <w:rStyle w:val="PageNumber"/>
      </w:rPr>
    </w:pPr>
    <w:r>
      <w:rPr>
        <w:rStyle w:val="PageNumber"/>
      </w:rPr>
      <w:fldChar w:fldCharType="begin"/>
    </w:r>
    <w:r w:rsidR="009C1816">
      <w:rPr>
        <w:rStyle w:val="PageNumber"/>
      </w:rPr>
      <w:instrText xml:space="preserve">PAGE  </w:instrText>
    </w:r>
    <w:r>
      <w:rPr>
        <w:rStyle w:val="PageNumber"/>
      </w:rPr>
      <w:fldChar w:fldCharType="separate"/>
    </w:r>
    <w:r w:rsidR="009C1816">
      <w:rPr>
        <w:rStyle w:val="PageNumber"/>
        <w:noProof/>
      </w:rPr>
      <w:t>1</w:t>
    </w:r>
    <w:r>
      <w:rPr>
        <w:rStyle w:val="PageNumber"/>
      </w:rPr>
      <w:fldChar w:fldCharType="end"/>
    </w:r>
  </w:p>
  <w:p w:rsidR="009C1816" w:rsidRDefault="009C18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5746" w:rsidRDefault="00355746">
      <w:r>
        <w:separator/>
      </w:r>
    </w:p>
  </w:footnote>
  <w:footnote w:type="continuationSeparator" w:id="0">
    <w:p w:rsidR="00355746" w:rsidRDefault="00355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F23" w:rsidRDefault="001A0F2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816" w:rsidRDefault="009C181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8EA8F8A"/>
    <w:lvl w:ilvl="0">
      <w:start w:val="1"/>
      <w:numFmt w:val="decimal"/>
      <w:lvlText w:val="%1."/>
      <w:lvlJc w:val="left"/>
      <w:pPr>
        <w:tabs>
          <w:tab w:val="num" w:pos="1492"/>
        </w:tabs>
        <w:ind w:left="1492" w:hanging="360"/>
      </w:pPr>
    </w:lvl>
  </w:abstractNum>
  <w:abstractNum w:abstractNumId="1">
    <w:nsid w:val="FFFFFF7D"/>
    <w:multiLevelType w:val="singleLevel"/>
    <w:tmpl w:val="5EE62D20"/>
    <w:lvl w:ilvl="0">
      <w:start w:val="1"/>
      <w:numFmt w:val="decimal"/>
      <w:lvlText w:val="%1."/>
      <w:lvlJc w:val="left"/>
      <w:pPr>
        <w:tabs>
          <w:tab w:val="num" w:pos="1209"/>
        </w:tabs>
        <w:ind w:left="1209" w:hanging="360"/>
      </w:pPr>
    </w:lvl>
  </w:abstractNum>
  <w:abstractNum w:abstractNumId="2">
    <w:nsid w:val="FFFFFF7E"/>
    <w:multiLevelType w:val="singleLevel"/>
    <w:tmpl w:val="E4A08820"/>
    <w:lvl w:ilvl="0">
      <w:start w:val="1"/>
      <w:numFmt w:val="decimal"/>
      <w:lvlText w:val="%1."/>
      <w:lvlJc w:val="left"/>
      <w:pPr>
        <w:tabs>
          <w:tab w:val="num" w:pos="926"/>
        </w:tabs>
        <w:ind w:left="926" w:hanging="360"/>
      </w:pPr>
    </w:lvl>
  </w:abstractNum>
  <w:abstractNum w:abstractNumId="3">
    <w:nsid w:val="FFFFFF7F"/>
    <w:multiLevelType w:val="singleLevel"/>
    <w:tmpl w:val="CCC2B564"/>
    <w:lvl w:ilvl="0">
      <w:start w:val="1"/>
      <w:numFmt w:val="decimal"/>
      <w:lvlText w:val="%1."/>
      <w:lvlJc w:val="left"/>
      <w:pPr>
        <w:tabs>
          <w:tab w:val="num" w:pos="643"/>
        </w:tabs>
        <w:ind w:left="643" w:hanging="360"/>
      </w:pPr>
    </w:lvl>
  </w:abstractNum>
  <w:abstractNum w:abstractNumId="4">
    <w:nsid w:val="FFFFFF80"/>
    <w:multiLevelType w:val="singleLevel"/>
    <w:tmpl w:val="3012B3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9E76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7881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70DF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ED0311E"/>
    <w:lvl w:ilvl="0">
      <w:start w:val="1"/>
      <w:numFmt w:val="decimal"/>
      <w:lvlText w:val="%1."/>
      <w:lvlJc w:val="left"/>
      <w:pPr>
        <w:tabs>
          <w:tab w:val="num" w:pos="360"/>
        </w:tabs>
        <w:ind w:left="360" w:hanging="360"/>
      </w:pPr>
    </w:lvl>
  </w:abstractNum>
  <w:abstractNum w:abstractNumId="9">
    <w:nsid w:val="FFFFFF89"/>
    <w:multiLevelType w:val="singleLevel"/>
    <w:tmpl w:val="C3F2B1EE"/>
    <w:lvl w:ilvl="0">
      <w:start w:val="1"/>
      <w:numFmt w:val="bullet"/>
      <w:lvlText w:val=""/>
      <w:lvlJc w:val="left"/>
      <w:pPr>
        <w:tabs>
          <w:tab w:val="num" w:pos="360"/>
        </w:tabs>
        <w:ind w:left="360" w:hanging="360"/>
      </w:pPr>
      <w:rPr>
        <w:rFonts w:ascii="Symbol" w:hAnsi="Symbol" w:hint="default"/>
      </w:rPr>
    </w:lvl>
  </w:abstractNum>
  <w:abstractNum w:abstractNumId="10">
    <w:nsid w:val="116041B1"/>
    <w:multiLevelType w:val="multilevel"/>
    <w:tmpl w:val="6FCA32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E8C1C2B"/>
    <w:multiLevelType w:val="hybridMultilevel"/>
    <w:tmpl w:val="AAD8CD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FD56562"/>
    <w:multiLevelType w:val="hybridMultilevel"/>
    <w:tmpl w:val="6FCA329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6AD24A84"/>
    <w:multiLevelType w:val="hybridMultilevel"/>
    <w:tmpl w:val="CFFEB8D0"/>
    <w:lvl w:ilvl="0" w:tplc="BA944308">
      <w:start w:val="1"/>
      <w:numFmt w:val="bullet"/>
      <w:pStyle w:val="dotpoints"/>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0"/>
  </w:num>
  <w:num w:numId="3">
    <w:abstractNumId w:val="13"/>
  </w:num>
  <w:num w:numId="4">
    <w:abstractNumId w:val="11"/>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9CB"/>
    <w:rsid w:val="0000720F"/>
    <w:rsid w:val="00012027"/>
    <w:rsid w:val="00027747"/>
    <w:rsid w:val="00033664"/>
    <w:rsid w:val="00040938"/>
    <w:rsid w:val="0004325A"/>
    <w:rsid w:val="00054F9D"/>
    <w:rsid w:val="0007081C"/>
    <w:rsid w:val="00073870"/>
    <w:rsid w:val="00074EA4"/>
    <w:rsid w:val="000A7E3A"/>
    <w:rsid w:val="000B51DE"/>
    <w:rsid w:val="000C3880"/>
    <w:rsid w:val="000C5EDD"/>
    <w:rsid w:val="000C7C0A"/>
    <w:rsid w:val="000D54BF"/>
    <w:rsid w:val="000D7AF4"/>
    <w:rsid w:val="000E4E6A"/>
    <w:rsid w:val="0010157A"/>
    <w:rsid w:val="00113786"/>
    <w:rsid w:val="001138EE"/>
    <w:rsid w:val="00123993"/>
    <w:rsid w:val="00126723"/>
    <w:rsid w:val="00126A41"/>
    <w:rsid w:val="00126DBC"/>
    <w:rsid w:val="001474AD"/>
    <w:rsid w:val="00160240"/>
    <w:rsid w:val="00165AA5"/>
    <w:rsid w:val="00184062"/>
    <w:rsid w:val="001874B4"/>
    <w:rsid w:val="001A0F23"/>
    <w:rsid w:val="001B0589"/>
    <w:rsid w:val="001B602D"/>
    <w:rsid w:val="001C65C8"/>
    <w:rsid w:val="001C7099"/>
    <w:rsid w:val="001F3325"/>
    <w:rsid w:val="001F3D05"/>
    <w:rsid w:val="001F4153"/>
    <w:rsid w:val="001F44A6"/>
    <w:rsid w:val="002042D6"/>
    <w:rsid w:val="00224B04"/>
    <w:rsid w:val="00225FC5"/>
    <w:rsid w:val="00234C88"/>
    <w:rsid w:val="00246729"/>
    <w:rsid w:val="00247A2D"/>
    <w:rsid w:val="002948CC"/>
    <w:rsid w:val="002A00B7"/>
    <w:rsid w:val="002A21C2"/>
    <w:rsid w:val="002A2A8D"/>
    <w:rsid w:val="002B4F66"/>
    <w:rsid w:val="002B625C"/>
    <w:rsid w:val="002C5A36"/>
    <w:rsid w:val="002C62D8"/>
    <w:rsid w:val="002F5447"/>
    <w:rsid w:val="003100E0"/>
    <w:rsid w:val="00312191"/>
    <w:rsid w:val="00320E4F"/>
    <w:rsid w:val="003463FB"/>
    <w:rsid w:val="00355746"/>
    <w:rsid w:val="00355FAC"/>
    <w:rsid w:val="00361D31"/>
    <w:rsid w:val="003671C1"/>
    <w:rsid w:val="003837C9"/>
    <w:rsid w:val="00393A6A"/>
    <w:rsid w:val="00394E71"/>
    <w:rsid w:val="003A1A7E"/>
    <w:rsid w:val="003A4BF0"/>
    <w:rsid w:val="003C2DA3"/>
    <w:rsid w:val="003C7581"/>
    <w:rsid w:val="003F03E3"/>
    <w:rsid w:val="003F19BF"/>
    <w:rsid w:val="004133EB"/>
    <w:rsid w:val="00424D5F"/>
    <w:rsid w:val="00424DB2"/>
    <w:rsid w:val="00455604"/>
    <w:rsid w:val="00486DD1"/>
    <w:rsid w:val="004875CD"/>
    <w:rsid w:val="004C0332"/>
    <w:rsid w:val="004D0608"/>
    <w:rsid w:val="004D0F80"/>
    <w:rsid w:val="004D2A53"/>
    <w:rsid w:val="004D5EFF"/>
    <w:rsid w:val="004E77C7"/>
    <w:rsid w:val="0053196F"/>
    <w:rsid w:val="00532959"/>
    <w:rsid w:val="00533269"/>
    <w:rsid w:val="00533602"/>
    <w:rsid w:val="005377F9"/>
    <w:rsid w:val="00560F4B"/>
    <w:rsid w:val="00574A4E"/>
    <w:rsid w:val="00597399"/>
    <w:rsid w:val="005B1FDF"/>
    <w:rsid w:val="005B4BB2"/>
    <w:rsid w:val="005B74BD"/>
    <w:rsid w:val="005D4817"/>
    <w:rsid w:val="005D713B"/>
    <w:rsid w:val="005E7123"/>
    <w:rsid w:val="00603E07"/>
    <w:rsid w:val="006047FB"/>
    <w:rsid w:val="00605FE3"/>
    <w:rsid w:val="00613FDD"/>
    <w:rsid w:val="00623654"/>
    <w:rsid w:val="006246EA"/>
    <w:rsid w:val="00643838"/>
    <w:rsid w:val="00645F16"/>
    <w:rsid w:val="0066363A"/>
    <w:rsid w:val="00663BA6"/>
    <w:rsid w:val="00664156"/>
    <w:rsid w:val="006761FA"/>
    <w:rsid w:val="006829AF"/>
    <w:rsid w:val="00684BC5"/>
    <w:rsid w:val="006951B8"/>
    <w:rsid w:val="006B4F53"/>
    <w:rsid w:val="006C2E9A"/>
    <w:rsid w:val="006C3FEB"/>
    <w:rsid w:val="006D2B99"/>
    <w:rsid w:val="006D46C9"/>
    <w:rsid w:val="006D6481"/>
    <w:rsid w:val="006D663D"/>
    <w:rsid w:val="006E51DA"/>
    <w:rsid w:val="00724296"/>
    <w:rsid w:val="00733C68"/>
    <w:rsid w:val="00744570"/>
    <w:rsid w:val="00757A06"/>
    <w:rsid w:val="007743F2"/>
    <w:rsid w:val="0079634D"/>
    <w:rsid w:val="007A79E2"/>
    <w:rsid w:val="007B113F"/>
    <w:rsid w:val="007C16AD"/>
    <w:rsid w:val="007D35DF"/>
    <w:rsid w:val="007E2C4C"/>
    <w:rsid w:val="007E3283"/>
    <w:rsid w:val="008115FE"/>
    <w:rsid w:val="00826FE7"/>
    <w:rsid w:val="0083404B"/>
    <w:rsid w:val="008350CC"/>
    <w:rsid w:val="00847D4F"/>
    <w:rsid w:val="00853C3A"/>
    <w:rsid w:val="00864E23"/>
    <w:rsid w:val="0087307A"/>
    <w:rsid w:val="00873A51"/>
    <w:rsid w:val="00884643"/>
    <w:rsid w:val="008950A9"/>
    <w:rsid w:val="008D40DA"/>
    <w:rsid w:val="008D4935"/>
    <w:rsid w:val="008D6093"/>
    <w:rsid w:val="008E2C21"/>
    <w:rsid w:val="008F68EB"/>
    <w:rsid w:val="00951B11"/>
    <w:rsid w:val="00983BD1"/>
    <w:rsid w:val="009867AC"/>
    <w:rsid w:val="009A2D8B"/>
    <w:rsid w:val="009A443D"/>
    <w:rsid w:val="009A4917"/>
    <w:rsid w:val="009B3A6A"/>
    <w:rsid w:val="009B434E"/>
    <w:rsid w:val="009B44BF"/>
    <w:rsid w:val="009B5EE0"/>
    <w:rsid w:val="009C1816"/>
    <w:rsid w:val="009D0836"/>
    <w:rsid w:val="009D13AD"/>
    <w:rsid w:val="009E0725"/>
    <w:rsid w:val="009E1193"/>
    <w:rsid w:val="009F4384"/>
    <w:rsid w:val="009F78D3"/>
    <w:rsid w:val="00A01422"/>
    <w:rsid w:val="00A01B29"/>
    <w:rsid w:val="00A33CE3"/>
    <w:rsid w:val="00A401B7"/>
    <w:rsid w:val="00A53EB2"/>
    <w:rsid w:val="00A54DFD"/>
    <w:rsid w:val="00A56C56"/>
    <w:rsid w:val="00A74970"/>
    <w:rsid w:val="00A77111"/>
    <w:rsid w:val="00A848C8"/>
    <w:rsid w:val="00A93508"/>
    <w:rsid w:val="00A956BA"/>
    <w:rsid w:val="00AB1BDE"/>
    <w:rsid w:val="00AB5993"/>
    <w:rsid w:val="00AB63FF"/>
    <w:rsid w:val="00AC1CD3"/>
    <w:rsid w:val="00AC2B6E"/>
    <w:rsid w:val="00AD0CB2"/>
    <w:rsid w:val="00AE53C7"/>
    <w:rsid w:val="00AF1476"/>
    <w:rsid w:val="00B1461F"/>
    <w:rsid w:val="00B2393A"/>
    <w:rsid w:val="00B34339"/>
    <w:rsid w:val="00B37AB5"/>
    <w:rsid w:val="00B55E8B"/>
    <w:rsid w:val="00B664A9"/>
    <w:rsid w:val="00B7041D"/>
    <w:rsid w:val="00B91DD9"/>
    <w:rsid w:val="00BA47C5"/>
    <w:rsid w:val="00BB0A6C"/>
    <w:rsid w:val="00BC7A0C"/>
    <w:rsid w:val="00BF3C44"/>
    <w:rsid w:val="00BF4210"/>
    <w:rsid w:val="00C14503"/>
    <w:rsid w:val="00C22317"/>
    <w:rsid w:val="00C36140"/>
    <w:rsid w:val="00C5051B"/>
    <w:rsid w:val="00C52C71"/>
    <w:rsid w:val="00C61173"/>
    <w:rsid w:val="00C86F95"/>
    <w:rsid w:val="00C87071"/>
    <w:rsid w:val="00C878D2"/>
    <w:rsid w:val="00C87D1C"/>
    <w:rsid w:val="00C94D01"/>
    <w:rsid w:val="00CA1D18"/>
    <w:rsid w:val="00CA332A"/>
    <w:rsid w:val="00CB4EE1"/>
    <w:rsid w:val="00CC03DA"/>
    <w:rsid w:val="00CC4025"/>
    <w:rsid w:val="00CD32DE"/>
    <w:rsid w:val="00CD6252"/>
    <w:rsid w:val="00CE0819"/>
    <w:rsid w:val="00CE0A71"/>
    <w:rsid w:val="00CE410F"/>
    <w:rsid w:val="00CE71F7"/>
    <w:rsid w:val="00D108CB"/>
    <w:rsid w:val="00D10E46"/>
    <w:rsid w:val="00D1490E"/>
    <w:rsid w:val="00D27A7A"/>
    <w:rsid w:val="00D27BE6"/>
    <w:rsid w:val="00D44F61"/>
    <w:rsid w:val="00D9356F"/>
    <w:rsid w:val="00DA5348"/>
    <w:rsid w:val="00DA62AE"/>
    <w:rsid w:val="00DB0401"/>
    <w:rsid w:val="00DB5AF3"/>
    <w:rsid w:val="00DB6E71"/>
    <w:rsid w:val="00DC7C11"/>
    <w:rsid w:val="00DD19CB"/>
    <w:rsid w:val="00DD20A1"/>
    <w:rsid w:val="00DD7C09"/>
    <w:rsid w:val="00DE2755"/>
    <w:rsid w:val="00DF2E21"/>
    <w:rsid w:val="00DF42D8"/>
    <w:rsid w:val="00E06DAE"/>
    <w:rsid w:val="00E24CAE"/>
    <w:rsid w:val="00E253E3"/>
    <w:rsid w:val="00E4274D"/>
    <w:rsid w:val="00E46A70"/>
    <w:rsid w:val="00E52C45"/>
    <w:rsid w:val="00E55E7F"/>
    <w:rsid w:val="00E617F1"/>
    <w:rsid w:val="00E721D8"/>
    <w:rsid w:val="00E73427"/>
    <w:rsid w:val="00E76CCB"/>
    <w:rsid w:val="00E87E9A"/>
    <w:rsid w:val="00E90E38"/>
    <w:rsid w:val="00E9104A"/>
    <w:rsid w:val="00EA125F"/>
    <w:rsid w:val="00EA6AE8"/>
    <w:rsid w:val="00EB12C8"/>
    <w:rsid w:val="00EB73E9"/>
    <w:rsid w:val="00EC167A"/>
    <w:rsid w:val="00ED0C24"/>
    <w:rsid w:val="00EF31AB"/>
    <w:rsid w:val="00EF3901"/>
    <w:rsid w:val="00F02D47"/>
    <w:rsid w:val="00F152C9"/>
    <w:rsid w:val="00F277D5"/>
    <w:rsid w:val="00F5454B"/>
    <w:rsid w:val="00F73507"/>
    <w:rsid w:val="00F802C4"/>
    <w:rsid w:val="00F95729"/>
    <w:rsid w:val="00FA5691"/>
    <w:rsid w:val="00FB26D1"/>
    <w:rsid w:val="00FE00A9"/>
    <w:rsid w:val="00FF50C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FootnoteText">
    <w:name w:val="footnote text"/>
    <w:basedOn w:val="Normal"/>
    <w:link w:val="FootnoteTextChar"/>
    <w:semiHidden/>
    <w:unhideWhenUsed/>
    <w:rsid w:val="00884643"/>
    <w:rPr>
      <w:sz w:val="20"/>
    </w:rPr>
  </w:style>
  <w:style w:type="character" w:customStyle="1" w:styleId="FootnoteTextChar">
    <w:name w:val="Footnote Text Char"/>
    <w:basedOn w:val="DefaultParagraphFont"/>
    <w:link w:val="FootnoteText"/>
    <w:semiHidden/>
    <w:rsid w:val="00884643"/>
    <w:rPr>
      <w:lang w:eastAsia="en-US"/>
    </w:rPr>
  </w:style>
  <w:style w:type="character" w:styleId="FootnoteReference">
    <w:name w:val="footnote reference"/>
    <w:basedOn w:val="DefaultParagraphFont"/>
    <w:semiHidden/>
    <w:unhideWhenUsed/>
    <w:rsid w:val="00884643"/>
    <w:rPr>
      <w:vertAlign w:val="superscript"/>
    </w:rPr>
  </w:style>
  <w:style w:type="paragraph" w:customStyle="1" w:styleId="body">
    <w:name w:val="body"/>
    <w:rsid w:val="006761FA"/>
    <w:pPr>
      <w:autoSpaceDE w:val="0"/>
      <w:autoSpaceDN w:val="0"/>
      <w:adjustRightInd w:val="0"/>
    </w:pPr>
    <w:rPr>
      <w:rFonts w:ascii="Helv" w:eastAsia="SimSun" w:hAnsi="Helv"/>
      <w:sz w:val="16"/>
      <w:szCs w:val="16"/>
      <w:lang w:val="en-US" w:eastAsia="en-US"/>
    </w:rPr>
  </w:style>
  <w:style w:type="paragraph" w:customStyle="1" w:styleId="topicheading">
    <w:name w:val="topic heading"/>
    <w:basedOn w:val="AssessmentTypeHeading"/>
    <w:qFormat/>
    <w:rsid w:val="00983BD1"/>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1DE"/>
    <w:rPr>
      <w:sz w:val="22"/>
      <w:lang w:eastAsia="en-US"/>
    </w:rPr>
  </w:style>
  <w:style w:type="paragraph" w:styleId="Heading1">
    <w:name w:val="heading 1"/>
    <w:aliases w:val="Heading A"/>
    <w:basedOn w:val="Normal"/>
    <w:next w:val="Normal"/>
    <w:link w:val="Heading1Char"/>
    <w:qFormat/>
    <w:rsid w:val="00B1461F"/>
    <w:pPr>
      <w:keepNext/>
      <w:jc w:val="center"/>
      <w:outlineLvl w:val="0"/>
    </w:pPr>
    <w:rPr>
      <w:rFonts w:ascii="Arial Bold" w:hAnsi="Arial Bold"/>
      <w:b/>
      <w:kern w:val="28"/>
      <w:sz w:val="32"/>
    </w:rPr>
  </w:style>
  <w:style w:type="paragraph" w:styleId="Heading2">
    <w:name w:val="heading 2"/>
    <w:aliases w:val="Heading B"/>
    <w:basedOn w:val="Normal"/>
    <w:next w:val="Normal"/>
    <w:autoRedefine/>
    <w:qFormat/>
    <w:rsid w:val="006E51DA"/>
    <w:pPr>
      <w:keepNext/>
      <w:spacing w:before="480"/>
      <w:outlineLvl w:val="1"/>
    </w:pPr>
    <w:rPr>
      <w:rFonts w:ascii="Arial Bold" w:hAnsi="Arial Bold"/>
      <w:b/>
      <w:sz w:val="28"/>
    </w:rPr>
  </w:style>
  <w:style w:type="paragraph" w:styleId="Heading3">
    <w:name w:val="heading 3"/>
    <w:aliases w:val="Heading C"/>
    <w:basedOn w:val="Normal"/>
    <w:next w:val="Normal"/>
    <w:qFormat/>
    <w:pPr>
      <w:keepNext/>
      <w:outlineLvl w:val="2"/>
    </w:pPr>
    <w:rPr>
      <w:b/>
      <w:sz w:val="24"/>
    </w:rPr>
  </w:style>
  <w:style w:type="paragraph" w:styleId="Heading4">
    <w:name w:val="heading 4"/>
    <w:aliases w:val="Heading D"/>
    <w:basedOn w:val="Normal"/>
    <w:next w:val="Normal"/>
    <w:qFormat/>
    <w:pPr>
      <w:keepNext/>
      <w:spacing w:after="100" w:afterAutospacing="1"/>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qFormat/>
    <w:pPr>
      <w:ind w:left="567" w:right="567"/>
    </w:pPr>
  </w:style>
  <w:style w:type="paragraph" w:customStyle="1" w:styleId="HeadingE">
    <w:name w:val="Heading E"/>
    <w:basedOn w:val="Heading1"/>
    <w:pPr>
      <w:jc w:val="left"/>
    </w:pPr>
    <w:rPr>
      <w:rFonts w:ascii="Times New Roman" w:hAnsi="Times New Roman"/>
      <w:b w:val="0"/>
      <w:i/>
      <w:caps/>
      <w:sz w:val="22"/>
    </w:rPr>
  </w:style>
  <w:style w:type="character" w:styleId="CommentReference">
    <w:name w:val="annotation reference"/>
    <w:uiPriority w:val="99"/>
    <w:semiHidden/>
    <w:rPr>
      <w:sz w:val="16"/>
    </w:rPr>
  </w:style>
  <w:style w:type="paragraph" w:styleId="CommentText">
    <w:name w:val="annotation text"/>
    <w:basedOn w:val="Normal"/>
    <w:link w:val="CommentTextChar"/>
    <w:semiHidden/>
  </w:style>
  <w:style w:type="character" w:customStyle="1" w:styleId="CommentTextChar">
    <w:name w:val="Comment Text Char"/>
    <w:link w:val="CommentText"/>
    <w:semiHidden/>
    <w:rsid w:val="00DF42D8"/>
    <w:rPr>
      <w:sz w:val="22"/>
      <w:lang w:eastAsia="en-US"/>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BodyText1">
    <w:name w:val="Body Text1"/>
    <w:basedOn w:val="Normal"/>
    <w:rsid w:val="001A0F23"/>
    <w:pPr>
      <w:spacing w:before="240" w:after="240"/>
    </w:pPr>
    <w:rPr>
      <w:rFonts w:ascii="Arial" w:hAnsi="Arial"/>
    </w:rPr>
  </w:style>
  <w:style w:type="paragraph" w:customStyle="1" w:styleId="HeadingF">
    <w:name w:val="Heading F"/>
    <w:basedOn w:val="Heading3"/>
    <w:pPr>
      <w:jc w:val="center"/>
    </w:pPr>
    <w:rPr>
      <w:lang w:val="en-US"/>
    </w:rPr>
  </w:style>
  <w:style w:type="paragraph" w:styleId="BalloonText">
    <w:name w:val="Balloon Text"/>
    <w:basedOn w:val="Normal"/>
    <w:semiHidden/>
    <w:rsid w:val="00DD19CB"/>
    <w:rPr>
      <w:rFonts w:ascii="Tahoma" w:hAnsi="Tahoma" w:cs="Tahoma"/>
      <w:sz w:val="16"/>
      <w:szCs w:val="16"/>
    </w:rPr>
  </w:style>
  <w:style w:type="paragraph" w:customStyle="1" w:styleId="SOFinalCoverHeading1">
    <w:name w:val="SO Final Cover Heading 1"/>
    <w:rsid w:val="00597399"/>
    <w:pPr>
      <w:spacing w:before="460" w:after="120"/>
      <w:ind w:left="2381"/>
    </w:pPr>
    <w:rPr>
      <w:rFonts w:ascii="Century Gothic" w:hAnsi="Century Gothic"/>
      <w:b/>
      <w:bCs/>
      <w:spacing w:val="2"/>
      <w:sz w:val="36"/>
      <w:lang w:eastAsia="en-US"/>
    </w:rPr>
  </w:style>
  <w:style w:type="paragraph" w:customStyle="1" w:styleId="SOFinalCoverHeading2">
    <w:name w:val="SO Final Cover Heading 2"/>
    <w:rsid w:val="00597399"/>
    <w:pPr>
      <w:spacing w:before="240"/>
      <w:ind w:left="2381"/>
    </w:pPr>
    <w:rPr>
      <w:rFonts w:ascii="Century Gothic" w:hAnsi="Century Gothic"/>
      <w:spacing w:val="2"/>
      <w:sz w:val="28"/>
      <w:lang w:eastAsia="en-US"/>
    </w:rPr>
  </w:style>
  <w:style w:type="table" w:customStyle="1" w:styleId="SOFinalCoverTable">
    <w:name w:val="SO Final Cover Table"/>
    <w:basedOn w:val="TableNormal"/>
    <w:rsid w:val="00597399"/>
    <w:rPr>
      <w:rFonts w:eastAsia="SimSun"/>
    </w:rPr>
    <w:tblPr/>
  </w:style>
  <w:style w:type="paragraph" w:customStyle="1" w:styleId="FrontPageHeading">
    <w:name w:val="Front Page Heading"/>
    <w:basedOn w:val="SOFinalCoverHeading1"/>
    <w:qFormat/>
    <w:rsid w:val="009F4384"/>
    <w:pPr>
      <w:spacing w:before="2400"/>
    </w:pPr>
    <w:rPr>
      <w:rFonts w:eastAsia="SimSun"/>
    </w:rPr>
  </w:style>
  <w:style w:type="paragraph" w:customStyle="1" w:styleId="FrontPageSub-heading">
    <w:name w:val="Front Page Sub-heading"/>
    <w:basedOn w:val="SOFinalCoverHeading2"/>
    <w:qFormat/>
    <w:rsid w:val="009F4384"/>
    <w:pPr>
      <w:spacing w:before="600"/>
    </w:pPr>
    <w:rPr>
      <w:rFonts w:eastAsia="SimSun"/>
    </w:rPr>
  </w:style>
  <w:style w:type="paragraph" w:styleId="CommentSubject">
    <w:name w:val="annotation subject"/>
    <w:basedOn w:val="CommentText"/>
    <w:next w:val="CommentText"/>
    <w:link w:val="CommentSubjectChar"/>
    <w:rsid w:val="00DF42D8"/>
    <w:rPr>
      <w:b/>
      <w:bCs/>
      <w:sz w:val="20"/>
    </w:rPr>
  </w:style>
  <w:style w:type="character" w:customStyle="1" w:styleId="CommentSubjectChar">
    <w:name w:val="Comment Subject Char"/>
    <w:link w:val="CommentSubject"/>
    <w:rsid w:val="00DF42D8"/>
    <w:rPr>
      <w:b/>
      <w:bCs/>
      <w:sz w:val="22"/>
      <w:lang w:eastAsia="en-US"/>
    </w:rPr>
  </w:style>
  <w:style w:type="paragraph" w:styleId="Revision">
    <w:name w:val="Revision"/>
    <w:hidden/>
    <w:uiPriority w:val="99"/>
    <w:semiHidden/>
    <w:rsid w:val="00DF42D8"/>
    <w:rPr>
      <w:sz w:val="22"/>
      <w:lang w:eastAsia="en-US"/>
    </w:rPr>
  </w:style>
  <w:style w:type="paragraph" w:customStyle="1" w:styleId="AssessmentTypeHeading">
    <w:name w:val="Assessment Type Heading"/>
    <w:basedOn w:val="Normal"/>
    <w:qFormat/>
    <w:rsid w:val="00DF42D8"/>
    <w:pPr>
      <w:spacing w:before="360"/>
    </w:pPr>
    <w:rPr>
      <w:rFonts w:ascii="Arial Narrow" w:hAnsi="Arial Narrow" w:cs="Arial"/>
      <w:b/>
      <w:bCs/>
      <w:sz w:val="28"/>
      <w:szCs w:val="28"/>
    </w:rPr>
  </w:style>
  <w:style w:type="paragraph" w:customStyle="1" w:styleId="dotpoints">
    <w:name w:val="dot points"/>
    <w:basedOn w:val="Normal"/>
    <w:qFormat/>
    <w:rsid w:val="000B51DE"/>
    <w:pPr>
      <w:numPr>
        <w:numId w:val="3"/>
      </w:numPr>
      <w:tabs>
        <w:tab w:val="clear" w:pos="720"/>
        <w:tab w:val="num" w:pos="360"/>
      </w:tabs>
      <w:ind w:left="360"/>
    </w:pPr>
    <w:rPr>
      <w:rFonts w:ascii="Arial" w:hAnsi="Arial" w:cs="Arial"/>
      <w:szCs w:val="22"/>
    </w:rPr>
  </w:style>
  <w:style w:type="paragraph" w:customStyle="1" w:styleId="Head2">
    <w:name w:val="Head2"/>
    <w:basedOn w:val="Heading2"/>
    <w:qFormat/>
    <w:rsid w:val="000B51DE"/>
  </w:style>
  <w:style w:type="character" w:customStyle="1" w:styleId="Heading1Char">
    <w:name w:val="Heading 1 Char"/>
    <w:aliases w:val="Heading A Char"/>
    <w:basedOn w:val="DefaultParagraphFont"/>
    <w:link w:val="Heading1"/>
    <w:rsid w:val="00B1461F"/>
    <w:rPr>
      <w:rFonts w:ascii="Arial Bold" w:hAnsi="Arial Bold"/>
      <w:b/>
      <w:kern w:val="28"/>
      <w:sz w:val="32"/>
      <w:lang w:eastAsia="en-US"/>
    </w:rPr>
  </w:style>
  <w:style w:type="character" w:customStyle="1" w:styleId="HeaderChar">
    <w:name w:val="Header Char"/>
    <w:basedOn w:val="DefaultParagraphFont"/>
    <w:link w:val="Header"/>
    <w:rsid w:val="001A0F23"/>
    <w:rPr>
      <w:sz w:val="22"/>
      <w:lang w:eastAsia="en-US"/>
    </w:rPr>
  </w:style>
  <w:style w:type="character" w:customStyle="1" w:styleId="FooterChar">
    <w:name w:val="Footer Char"/>
    <w:basedOn w:val="DefaultParagraphFont"/>
    <w:link w:val="Footer"/>
    <w:rsid w:val="001A0F23"/>
    <w:rPr>
      <w:sz w:val="22"/>
      <w:lang w:eastAsia="en-US"/>
    </w:rPr>
  </w:style>
  <w:style w:type="paragraph" w:customStyle="1" w:styleId="StyleHeading1HeadingABefore12pt">
    <w:name w:val="Style Heading 1Heading A + Before:  12 pt"/>
    <w:basedOn w:val="Heading1"/>
    <w:rsid w:val="00B1461F"/>
    <w:pPr>
      <w:spacing w:before="240"/>
    </w:pPr>
  </w:style>
  <w:style w:type="paragraph" w:styleId="FootnoteText">
    <w:name w:val="footnote text"/>
    <w:basedOn w:val="Normal"/>
    <w:link w:val="FootnoteTextChar"/>
    <w:semiHidden/>
    <w:unhideWhenUsed/>
    <w:rsid w:val="00884643"/>
    <w:rPr>
      <w:sz w:val="20"/>
    </w:rPr>
  </w:style>
  <w:style w:type="character" w:customStyle="1" w:styleId="FootnoteTextChar">
    <w:name w:val="Footnote Text Char"/>
    <w:basedOn w:val="DefaultParagraphFont"/>
    <w:link w:val="FootnoteText"/>
    <w:semiHidden/>
    <w:rsid w:val="00884643"/>
    <w:rPr>
      <w:lang w:eastAsia="en-US"/>
    </w:rPr>
  </w:style>
  <w:style w:type="character" w:styleId="FootnoteReference">
    <w:name w:val="footnote reference"/>
    <w:basedOn w:val="DefaultParagraphFont"/>
    <w:semiHidden/>
    <w:unhideWhenUsed/>
    <w:rsid w:val="00884643"/>
    <w:rPr>
      <w:vertAlign w:val="superscript"/>
    </w:rPr>
  </w:style>
  <w:style w:type="paragraph" w:customStyle="1" w:styleId="body">
    <w:name w:val="body"/>
    <w:rsid w:val="006761FA"/>
    <w:pPr>
      <w:autoSpaceDE w:val="0"/>
      <w:autoSpaceDN w:val="0"/>
      <w:adjustRightInd w:val="0"/>
    </w:pPr>
    <w:rPr>
      <w:rFonts w:ascii="Helv" w:eastAsia="SimSun" w:hAnsi="Helv"/>
      <w:sz w:val="16"/>
      <w:szCs w:val="16"/>
      <w:lang w:val="en-US" w:eastAsia="en-US"/>
    </w:rPr>
  </w:style>
  <w:style w:type="paragraph" w:customStyle="1" w:styleId="topicheading">
    <w:name w:val="topic heading"/>
    <w:basedOn w:val="AssessmentTypeHeading"/>
    <w:qFormat/>
    <w:rsid w:val="00983BD1"/>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26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renc\Application%20Data\Microsoft\Templates\Assessment%20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79715CB-6230-469A-AC8F-4276EA9F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Assessment Reports.dot</Template>
  <TotalTime>48</TotalTime>
  <Pages>6</Pages>
  <Words>2368</Words>
  <Characters>13499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Subject name</vt:lpstr>
    </vt:vector>
  </TitlesOfParts>
  <Company>Infoquest</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name</dc:title>
  <dc:creator>karenc</dc:creator>
  <cp:lastModifiedBy> </cp:lastModifiedBy>
  <cp:revision>16</cp:revision>
  <cp:lastPrinted>2014-12-24T00:13:00Z</cp:lastPrinted>
  <dcterms:created xsi:type="dcterms:W3CDTF">2015-02-09T21:36:00Z</dcterms:created>
  <dcterms:modified xsi:type="dcterms:W3CDTF">2015-02-10T03:27:00Z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A406379</vt:lpwstr>
  </property>
  <property fmtid="{D5CDD505-2E9C-101B-9397-08002B2CF9AE}" pid="3" name="Objective-Comment">
    <vt:lpwstr/>
  </property>
  <property fmtid="{D5CDD505-2E9C-101B-9397-08002B2CF9AE}" pid="4" name="Objective-CreationStamp">
    <vt:filetime>2014-12-14T21:39:52Z</vt:filetime>
  </property>
  <property fmtid="{D5CDD505-2E9C-101B-9397-08002B2CF9AE}" pid="5" name="Objective-IsApproved">
    <vt:bool>false</vt:bool>
  </property>
  <property fmtid="{D5CDD505-2E9C-101B-9397-08002B2CF9AE}" pid="6" name="Objective-IsPublished">
    <vt:bool>false</vt:bool>
  </property>
  <property fmtid="{D5CDD505-2E9C-101B-9397-08002B2CF9AE}" pid="7" name="Objective-DatePublished">
    <vt:lpwstr/>
  </property>
  <property fmtid="{D5CDD505-2E9C-101B-9397-08002B2CF9AE}" pid="8" name="Objective-ModificationStamp">
    <vt:filetime>2015-02-10T02:34:27Z</vt:filetime>
  </property>
  <property fmtid="{D5CDD505-2E9C-101B-9397-08002B2CF9AE}" pid="9" name="Objective-Owner">
    <vt:lpwstr>Karen Collins</vt:lpwstr>
  </property>
  <property fmtid="{D5CDD505-2E9C-101B-9397-08002B2CF9AE}" pid="10" name="Objective-Path">
    <vt:lpwstr>Objective Global Folder:Quality Assurance Cycle:Stage 2 - 4. Improving:Chief Assessors Reports:2014 Chief Assessors Reports:</vt:lpwstr>
  </property>
  <property fmtid="{D5CDD505-2E9C-101B-9397-08002B2CF9AE}" pid="11" name="Objective-Parent">
    <vt:lpwstr>2014 Chief Assessors Reports</vt:lpwstr>
  </property>
  <property fmtid="{D5CDD505-2E9C-101B-9397-08002B2CF9AE}" pid="12" name="Objective-State">
    <vt:lpwstr>Being Edited</vt:lpwstr>
  </property>
  <property fmtid="{D5CDD505-2E9C-101B-9397-08002B2CF9AE}" pid="13" name="Objective-Title">
    <vt:lpwstr>2014 Community Studies Chief Assessor's Report</vt:lpwstr>
  </property>
  <property fmtid="{D5CDD505-2E9C-101B-9397-08002B2CF9AE}" pid="14" name="Objective-Version">
    <vt:lpwstr>4.1</vt:lpwstr>
  </property>
  <property fmtid="{D5CDD505-2E9C-101B-9397-08002B2CF9AE}" pid="15" name="Objective-VersionComment">
    <vt:lpwstr/>
  </property>
  <property fmtid="{D5CDD505-2E9C-101B-9397-08002B2CF9AE}" pid="16" name="Objective-VersionNumber">
    <vt:r8>13</vt:r8>
  </property>
  <property fmtid="{D5CDD505-2E9C-101B-9397-08002B2CF9AE}" pid="17" name="Objective-FileNumber">
    <vt:lpwstr>qA13034</vt:lpwstr>
  </property>
  <property fmtid="{D5CDD505-2E9C-101B-9397-08002B2CF9AE}" pid="18" name="Objective-Classification">
    <vt:lpwstr>[Inherited - none]</vt:lpwstr>
  </property>
  <property fmtid="{D5CDD505-2E9C-101B-9397-08002B2CF9AE}" pid="19" name="Objective-Caveats">
    <vt:lpwstr/>
  </property>
</Properties>
</file>