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4.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087B8B" w14:textId="559FC980" w:rsidR="00201242" w:rsidRDefault="001D4E0B" w:rsidP="002E27C2">
      <w:pPr>
        <w:pStyle w:val="SAASubjectHeading"/>
      </w:pPr>
      <w:r>
        <w:t>202</w:t>
      </w:r>
      <w:r w:rsidR="00BF4F06">
        <w:t>1</w:t>
      </w:r>
      <w:r w:rsidR="00634151">
        <w:t xml:space="preserve"> </w:t>
      </w:r>
      <w:r w:rsidR="0075307B">
        <w:t>Ancient Studies</w:t>
      </w:r>
      <w:r w:rsidR="00201242" w:rsidRPr="00201242">
        <w:t xml:space="preserve"> Subject Assessment Advice</w:t>
      </w:r>
    </w:p>
    <w:p w14:paraId="73783DDD" w14:textId="77777777" w:rsidR="00201242" w:rsidRDefault="00201242" w:rsidP="00CC7AA8">
      <w:pPr>
        <w:pStyle w:val="SAAHeading2afterH1"/>
      </w:pPr>
      <w:r>
        <w:t>Overview</w:t>
      </w:r>
    </w:p>
    <w:p w14:paraId="66EA343B" w14:textId="77777777" w:rsidR="00201242" w:rsidRDefault="00201242" w:rsidP="00CC7AA8">
      <w:pPr>
        <w:pStyle w:val="SAABodytext"/>
      </w:pPr>
      <w:r>
        <w:t>Subject assessment advice, based on the previous year’s assessment cycle, gives an overview of how students performed in their school and external assessments in relation to the learning requirements, assessment design criteria, and performance standards set out in the relevant subject outline. They provide information and advice regarding the assessment types, the application of the performance standards in school and external assessments, and the quality of student performance.</w:t>
      </w:r>
    </w:p>
    <w:p w14:paraId="41E29978" w14:textId="77777777" w:rsidR="00201242" w:rsidRDefault="00201242" w:rsidP="00CC7AA8">
      <w:pPr>
        <w:pStyle w:val="SAABodytext"/>
      </w:pPr>
      <w:r>
        <w:t>Teachers should refer to the subject outline for specifications on content and learning requirements, and to the subject operational information for operational matters and key dates.</w:t>
      </w:r>
    </w:p>
    <w:p w14:paraId="2D2668DC" w14:textId="77777777" w:rsidR="00201242" w:rsidRDefault="00201242" w:rsidP="00CC7AA8">
      <w:pPr>
        <w:pStyle w:val="SAAHeading1"/>
      </w:pPr>
      <w:r>
        <w:t>School Assessment</w:t>
      </w:r>
    </w:p>
    <w:p w14:paraId="359198B6" w14:textId="123420B6" w:rsidR="00201242" w:rsidRPr="00B172A9" w:rsidRDefault="00201242" w:rsidP="00CC7AA8">
      <w:pPr>
        <w:pStyle w:val="SAAHeading2afterH1"/>
      </w:pPr>
      <w:r w:rsidRPr="00B172A9">
        <w:t>Assessment</w:t>
      </w:r>
      <w:r w:rsidR="00FB2A9D" w:rsidRPr="00B172A9">
        <w:t xml:space="preserve"> Type 1: </w:t>
      </w:r>
      <w:r w:rsidR="00CF6F4D">
        <w:t>Skills and Applications</w:t>
      </w:r>
    </w:p>
    <w:p w14:paraId="2D9C6153" w14:textId="606B49B0" w:rsidR="00FB2A9D" w:rsidRPr="00202F66" w:rsidRDefault="007B3454" w:rsidP="00CC7AA8">
      <w:pPr>
        <w:pStyle w:val="SAABodytext"/>
        <w:rPr>
          <w:color w:val="FF0000"/>
        </w:rPr>
      </w:pPr>
      <w:r>
        <w:t>Students produce at least four skills and applications tasks</w:t>
      </w:r>
      <w:r w:rsidR="000F6672">
        <w:t xml:space="preserve">, with at least two of the tasks completed under supervised conditions. </w:t>
      </w:r>
      <w:r w:rsidR="00406B3D">
        <w:t>These tasks</w:t>
      </w:r>
      <w:r w:rsidR="00660515">
        <w:t>, taken together, comprise a maximum of 4000 words, or equivalent in oral or multimodal form. Students should use a variety of forms to present evidence of their learning.</w:t>
      </w:r>
    </w:p>
    <w:p w14:paraId="634E7382" w14:textId="68D0C28A" w:rsidR="00FB2A9D" w:rsidRPr="003E3986" w:rsidRDefault="00FB2A9D" w:rsidP="00CC7AA8">
      <w:pPr>
        <w:pStyle w:val="SAABodytext"/>
      </w:pPr>
      <w:r w:rsidRPr="003E3986">
        <w:t xml:space="preserve">Students demonstrate their knowledge and understanding of </w:t>
      </w:r>
      <w:r w:rsidR="00B12447" w:rsidRPr="003E3986">
        <w:t xml:space="preserve">texts, artefacts, ideas, events, and/or people </w:t>
      </w:r>
      <w:r w:rsidR="00D15F71" w:rsidRPr="003E3986">
        <w:t>while reflecting on the political, social, cultural, and/or economic diversity within the ancient world</w:t>
      </w:r>
      <w:r w:rsidR="008039B9" w:rsidRPr="003E3986">
        <w:t>.</w:t>
      </w:r>
      <w:r w:rsidR="00D15F71" w:rsidRPr="003E3986">
        <w:t xml:space="preserve"> </w:t>
      </w:r>
    </w:p>
    <w:p w14:paraId="53B23192" w14:textId="41965736" w:rsidR="00201242" w:rsidRDefault="00201242" w:rsidP="00CC7AA8">
      <w:pPr>
        <w:pStyle w:val="SAABodytextitalics"/>
      </w:pPr>
      <w:r>
        <w:t>The more successful responses commonly:</w:t>
      </w:r>
    </w:p>
    <w:p w14:paraId="55705ACF" w14:textId="3A3D0ED5" w:rsidR="00BA5182" w:rsidRPr="00C03BB9" w:rsidRDefault="00B632EE" w:rsidP="00B632EE">
      <w:pPr>
        <w:pStyle w:val="SAABullets0"/>
      </w:pPr>
      <w:r>
        <w:t>w</w:t>
      </w:r>
      <w:r w:rsidR="00BA5182" w:rsidRPr="00C03BB9">
        <w:t>ere more concept</w:t>
      </w:r>
      <w:r w:rsidR="007F74EB">
        <w:t>-</w:t>
      </w:r>
      <w:r w:rsidR="00BA5182" w:rsidRPr="00C03BB9">
        <w:t>driven or utilised themes to explore ideas from the ancient world. This helped students address KU2 and KU3 in a more authentic manner</w:t>
      </w:r>
    </w:p>
    <w:p w14:paraId="2C170EEB" w14:textId="70509EA2" w:rsidR="00BA5182" w:rsidRPr="00C03BB9" w:rsidRDefault="00B632EE" w:rsidP="00B632EE">
      <w:pPr>
        <w:pStyle w:val="SAABullets0"/>
      </w:pPr>
      <w:r>
        <w:t>u</w:t>
      </w:r>
      <w:r w:rsidR="00BA5182" w:rsidRPr="00C03BB9">
        <w:t xml:space="preserve">tilised </w:t>
      </w:r>
      <w:r w:rsidR="00E56BAF">
        <w:t>primary and secondary</w:t>
      </w:r>
      <w:r w:rsidR="00BA5182" w:rsidRPr="00C03BB9">
        <w:t xml:space="preserve"> source material to support analysis and develop ideas</w:t>
      </w:r>
    </w:p>
    <w:p w14:paraId="2EEF28ED" w14:textId="525DB3AA" w:rsidR="00BA5182" w:rsidRPr="00C03BB9" w:rsidRDefault="00B632EE" w:rsidP="00B632EE">
      <w:pPr>
        <w:pStyle w:val="SAABullets0"/>
      </w:pPr>
      <w:r>
        <w:t>m</w:t>
      </w:r>
      <w:r w:rsidR="00BA5182" w:rsidRPr="00C03BB9">
        <w:t>ade use of structured arguments to explore ideas and concepts using academic</w:t>
      </w:r>
      <w:r w:rsidR="003979A0">
        <w:t>-</w:t>
      </w:r>
      <w:r w:rsidR="00BA5182" w:rsidRPr="00C03BB9">
        <w:t>style writing</w:t>
      </w:r>
      <w:r>
        <w:t xml:space="preserve"> </w:t>
      </w:r>
      <w:r w:rsidR="00BA5182" w:rsidRPr="00C03BB9">
        <w:t>(A2)</w:t>
      </w:r>
    </w:p>
    <w:p w14:paraId="2801DAC6" w14:textId="1744CDCA" w:rsidR="00BA5182" w:rsidRDefault="00B632EE" w:rsidP="00B632EE">
      <w:pPr>
        <w:pStyle w:val="SAABullets0"/>
      </w:pPr>
      <w:r>
        <w:t>u</w:t>
      </w:r>
      <w:r w:rsidR="00BA5182" w:rsidRPr="00C03BB9">
        <w:t>tilised both in</w:t>
      </w:r>
      <w:r w:rsidR="003979A0">
        <w:t>-</w:t>
      </w:r>
      <w:r w:rsidR="00BA5182" w:rsidRPr="00C03BB9">
        <w:t>text references and a reference list to support depth of research</w:t>
      </w:r>
    </w:p>
    <w:p w14:paraId="0A80B63B" w14:textId="602B3D3F" w:rsidR="00F0395B" w:rsidRPr="00F0395B" w:rsidRDefault="00B632EE" w:rsidP="00B632EE">
      <w:pPr>
        <w:pStyle w:val="SAABullets0"/>
      </w:pPr>
      <w:r>
        <w:t>e</w:t>
      </w:r>
      <w:r w:rsidR="00F0395B" w:rsidRPr="00F0395B">
        <w:t>xamined a range of primary sources to support arguments and conclusions. Students considered both written and archaeological sources in their responses</w:t>
      </w:r>
    </w:p>
    <w:p w14:paraId="06DBAF0F" w14:textId="31D7BCA4" w:rsidR="00F0395B" w:rsidRPr="00F0395B" w:rsidRDefault="00B632EE" w:rsidP="00B632EE">
      <w:pPr>
        <w:pStyle w:val="SAABullets0"/>
      </w:pPr>
      <w:r>
        <w:t>a</w:t>
      </w:r>
      <w:r w:rsidR="00F0395B" w:rsidRPr="00F0395B">
        <w:t>nalysed and evaluated primary sources throughout their responses, including the nature of these sources as evidence</w:t>
      </w:r>
    </w:p>
    <w:p w14:paraId="34D779B6" w14:textId="30012757" w:rsidR="00F0395B" w:rsidRPr="00F0395B" w:rsidRDefault="00B632EE" w:rsidP="00B632EE">
      <w:pPr>
        <w:pStyle w:val="SAABullets0"/>
      </w:pPr>
      <w:r>
        <w:t>u</w:t>
      </w:r>
      <w:r w:rsidR="00F0395B" w:rsidRPr="00F0395B">
        <w:t>sed subject-specific language, including correct terminology for literary, historical and/or archaeological concepts</w:t>
      </w:r>
    </w:p>
    <w:p w14:paraId="32EC3DF2" w14:textId="5AF6F028" w:rsidR="00F0395B" w:rsidRPr="00EC0727" w:rsidRDefault="00B632EE" w:rsidP="00B632EE">
      <w:pPr>
        <w:pStyle w:val="SAABullets0"/>
      </w:pPr>
      <w:r>
        <w:t>h</w:t>
      </w:r>
      <w:r w:rsidR="00F0395B" w:rsidRPr="00F0395B">
        <w:t>ad comprehensive knowledge and understanding across all KU standards – KU1 was particularly stron</w:t>
      </w:r>
      <w:r w:rsidR="00EC0727">
        <w:t>g</w:t>
      </w:r>
      <w:r>
        <w:t>.</w:t>
      </w:r>
    </w:p>
    <w:p w14:paraId="5DC39304" w14:textId="1AA22CF5" w:rsidR="00503D5E" w:rsidRPr="002C44C9" w:rsidRDefault="008737A7" w:rsidP="002C44C9">
      <w:pPr>
        <w:pStyle w:val="SAABodytextitalics"/>
      </w:pPr>
      <w:r>
        <w:t>The less successful responses commonly:</w:t>
      </w:r>
    </w:p>
    <w:p w14:paraId="58D0E3F5" w14:textId="74E7A80D" w:rsidR="002C44C9" w:rsidRPr="002C44C9" w:rsidRDefault="00B632EE" w:rsidP="00B632EE">
      <w:pPr>
        <w:pStyle w:val="SAABullets0"/>
      </w:pPr>
      <w:r>
        <w:t>p</w:t>
      </w:r>
      <w:r w:rsidR="002C44C9" w:rsidRPr="002C44C9">
        <w:t xml:space="preserve">rovided subject specific terminology, </w:t>
      </w:r>
      <w:r w:rsidR="00AE624A" w:rsidRPr="002C44C9">
        <w:t>i.e.,</w:t>
      </w:r>
      <w:r w:rsidR="002C44C9" w:rsidRPr="002C44C9">
        <w:t xml:space="preserve"> </w:t>
      </w:r>
      <w:r w:rsidR="002C44C9" w:rsidRPr="002C44C9">
        <w:rPr>
          <w:i/>
          <w:iCs/>
        </w:rPr>
        <w:t>nostos, hubris</w:t>
      </w:r>
      <w:r w:rsidR="002C44C9" w:rsidRPr="002C44C9">
        <w:t xml:space="preserve"> with limited engagement with what the term means in context to what the student was studying. Sometimes these terms were applied incorrectly</w:t>
      </w:r>
    </w:p>
    <w:p w14:paraId="283BDA3D" w14:textId="4B982E98" w:rsidR="002C44C9" w:rsidRPr="005D3318" w:rsidRDefault="00B632EE" w:rsidP="00B632EE">
      <w:pPr>
        <w:pStyle w:val="SAABullets0"/>
      </w:pPr>
      <w:r>
        <w:t>p</w:t>
      </w:r>
      <w:r w:rsidR="002C44C9" w:rsidRPr="002C44C9">
        <w:t>rovided a range of quotes from ancient writers and literature without any critique of the nature of sources (A3) or authentic application in context. These quotes appear</w:t>
      </w:r>
      <w:r w:rsidR="002F3586">
        <w:t>ed</w:t>
      </w:r>
      <w:r w:rsidR="002C44C9" w:rsidRPr="002C44C9">
        <w:t xml:space="preserve"> in assessment work as knowledge but without understanding or discussion of relevance or context</w:t>
      </w:r>
    </w:p>
    <w:p w14:paraId="1E4A543E" w14:textId="2447852A" w:rsidR="002C44C9" w:rsidRPr="002C44C9" w:rsidRDefault="00B632EE" w:rsidP="00B632EE">
      <w:pPr>
        <w:pStyle w:val="SAABullets0"/>
      </w:pPr>
      <w:r>
        <w:t>r</w:t>
      </w:r>
      <w:r w:rsidR="002C44C9" w:rsidRPr="002C44C9">
        <w:t>elied on the dot pointing of information in PowerPoints</w:t>
      </w:r>
      <w:r w:rsidR="00CA5123">
        <w:t>,</w:t>
      </w:r>
      <w:r w:rsidR="002C44C9" w:rsidRPr="002C44C9">
        <w:t xml:space="preserve"> focused mostly on providing information over analytical discussion</w:t>
      </w:r>
    </w:p>
    <w:p w14:paraId="7FD3BBF5" w14:textId="27BC1B05" w:rsidR="002612DF" w:rsidRPr="0045005D" w:rsidRDefault="00B632EE" w:rsidP="00B632EE">
      <w:pPr>
        <w:pStyle w:val="SAAbullets"/>
      </w:pPr>
      <w:r>
        <w:lastRenderedPageBreak/>
        <w:t>w</w:t>
      </w:r>
      <w:r w:rsidR="002C44C9" w:rsidRPr="002C44C9">
        <w:t>hen studying specific drama texts</w:t>
      </w:r>
      <w:r w:rsidR="00CA5123">
        <w:t>,</w:t>
      </w:r>
      <w:r w:rsidR="002C44C9" w:rsidRPr="002C44C9">
        <w:t xml:space="preserve"> did not provide direct quotes from the text or references to sections of the play studied</w:t>
      </w:r>
    </w:p>
    <w:p w14:paraId="11592B3A" w14:textId="2244766B" w:rsidR="0045005D" w:rsidRPr="0045005D" w:rsidRDefault="00B632EE" w:rsidP="00B632EE">
      <w:pPr>
        <w:pStyle w:val="SAABullets0"/>
      </w:pPr>
      <w:r>
        <w:t>h</w:t>
      </w:r>
      <w:r w:rsidR="0045005D" w:rsidRPr="0045005D">
        <w:t>ad a heavy reliance on secondary sources with little</w:t>
      </w:r>
      <w:r w:rsidR="00CA2988">
        <w:t>,</w:t>
      </w:r>
      <w:r w:rsidR="0045005D" w:rsidRPr="0045005D">
        <w:t xml:space="preserve"> to no</w:t>
      </w:r>
      <w:r w:rsidR="00CA2988">
        <w:t>,</w:t>
      </w:r>
      <w:r w:rsidR="0045005D" w:rsidRPr="0045005D">
        <w:t xml:space="preserve"> synthesis of evidence from primary sources</w:t>
      </w:r>
    </w:p>
    <w:p w14:paraId="24DC19E0" w14:textId="427C0315" w:rsidR="0045005D" w:rsidRPr="0045005D" w:rsidRDefault="00B632EE" w:rsidP="00B632EE">
      <w:pPr>
        <w:pStyle w:val="SAABullets0"/>
      </w:pPr>
      <w:r>
        <w:t>d</w:t>
      </w:r>
      <w:r w:rsidR="0045005D" w:rsidRPr="0045005D">
        <w:t>id not include any referencing/bibliography, or there were inconsistencies in referencing style</w:t>
      </w:r>
    </w:p>
    <w:p w14:paraId="447809C2" w14:textId="50D62ED0" w:rsidR="0045005D" w:rsidRPr="0045005D" w:rsidRDefault="00B632EE" w:rsidP="00B632EE">
      <w:pPr>
        <w:pStyle w:val="SAABullets0"/>
      </w:pPr>
      <w:r>
        <w:t>d</w:t>
      </w:r>
      <w:r w:rsidR="0045005D" w:rsidRPr="0045005D">
        <w:t>id not communicate their points clearly throughout their responses</w:t>
      </w:r>
    </w:p>
    <w:p w14:paraId="068B4125" w14:textId="6F03588D" w:rsidR="0096749B" w:rsidRPr="000E2D52" w:rsidRDefault="00B632EE" w:rsidP="00B632EE">
      <w:pPr>
        <w:pStyle w:val="SAABullets0"/>
      </w:pPr>
      <w:r>
        <w:t>d</w:t>
      </w:r>
      <w:r w:rsidR="0045005D" w:rsidRPr="0096749B">
        <w:t xml:space="preserve">id not consider the quality of secondary sources they were using in their responses. Websites </w:t>
      </w:r>
      <w:r w:rsidR="00325C17">
        <w:t>such as</w:t>
      </w:r>
      <w:r w:rsidR="0045005D" w:rsidRPr="0096749B">
        <w:t xml:space="preserve"> Grade Saver were used for analysis of drama or other literary texts</w:t>
      </w:r>
      <w:r w:rsidR="003E62CA" w:rsidRPr="0096749B">
        <w:t xml:space="preserve"> which limited the students’ own authentic engagement with the text and highlighted that the student may not have even read the text they were analysing</w:t>
      </w:r>
    </w:p>
    <w:p w14:paraId="1406673A" w14:textId="4DC56197" w:rsidR="000E2D52" w:rsidRPr="000E2D52" w:rsidRDefault="00B632EE" w:rsidP="00B632EE">
      <w:pPr>
        <w:pStyle w:val="SAABullets0"/>
      </w:pPr>
      <w:r>
        <w:t>r</w:t>
      </w:r>
      <w:r w:rsidR="000E2D52" w:rsidRPr="00A16554">
        <w:t>elied on ‘Modern History’ style source analysis timed responses that asked for short responses to set questions which when done poorly resulted in a simple recounting of information from the source material provided.</w:t>
      </w:r>
    </w:p>
    <w:p w14:paraId="1F5ECDF8" w14:textId="2C926AA9" w:rsidR="00201242" w:rsidRPr="0096749B" w:rsidRDefault="00C020E2" w:rsidP="00B632EE">
      <w:pPr>
        <w:pStyle w:val="SAAHeading2"/>
      </w:pPr>
      <w:r w:rsidRPr="0096749B">
        <w:t>Assessment Type 2</w:t>
      </w:r>
      <w:r w:rsidR="0015786D" w:rsidRPr="0096749B">
        <w:t xml:space="preserve">: </w:t>
      </w:r>
      <w:r w:rsidR="0096749B">
        <w:t>Connections</w:t>
      </w:r>
    </w:p>
    <w:p w14:paraId="676D2EB0" w14:textId="77777777" w:rsidR="001337B9" w:rsidRDefault="00D16116" w:rsidP="00CC7AA8">
      <w:pPr>
        <w:pStyle w:val="SAABodytextitalics"/>
        <w:rPr>
          <w:i w:val="0"/>
          <w:iCs/>
        </w:rPr>
      </w:pPr>
      <w:r>
        <w:rPr>
          <w:i w:val="0"/>
          <w:iCs/>
        </w:rPr>
        <w:t>Students produce at least two connections tasks</w:t>
      </w:r>
      <w:r w:rsidR="008F3F77">
        <w:rPr>
          <w:i w:val="0"/>
          <w:iCs/>
        </w:rPr>
        <w:t xml:space="preserve">, exploring connections between different ancient societies, between an ancient society and a contemporary society, between an ancient society and another society, or within an ancient society. </w:t>
      </w:r>
      <w:r w:rsidR="006D228A">
        <w:rPr>
          <w:i w:val="0"/>
          <w:iCs/>
        </w:rPr>
        <w:t xml:space="preserve">All tasks together comprise a maximum of 2000 words, or equivalent in oral or multimodal form, and at least one task should </w:t>
      </w:r>
      <w:r w:rsidR="00181421">
        <w:rPr>
          <w:i w:val="0"/>
          <w:iCs/>
        </w:rPr>
        <w:t xml:space="preserve">focus on the ideas </w:t>
      </w:r>
      <w:r w:rsidR="00987A0D">
        <w:rPr>
          <w:i w:val="0"/>
          <w:iCs/>
        </w:rPr>
        <w:t>and/or</w:t>
      </w:r>
      <w:r w:rsidR="00181421">
        <w:rPr>
          <w:i w:val="0"/>
          <w:iCs/>
        </w:rPr>
        <w:t xml:space="preserve"> innovations that emerged from the ancient world and include consideration of their influence.</w:t>
      </w:r>
    </w:p>
    <w:p w14:paraId="77D48073" w14:textId="635DF218" w:rsidR="00325C17" w:rsidRPr="00325C17" w:rsidRDefault="001337B9" w:rsidP="00CC7AA8">
      <w:pPr>
        <w:pStyle w:val="SAABodytextitalics"/>
        <w:rPr>
          <w:i w:val="0"/>
          <w:iCs/>
        </w:rPr>
      </w:pPr>
      <w:r>
        <w:rPr>
          <w:i w:val="0"/>
          <w:iCs/>
        </w:rPr>
        <w:t>2021 saw a marked improvement in the AT2 assessment type</w:t>
      </w:r>
      <w:r w:rsidR="0024289C">
        <w:rPr>
          <w:i w:val="0"/>
          <w:iCs/>
        </w:rPr>
        <w:t xml:space="preserve"> </w:t>
      </w:r>
      <w:r w:rsidR="000E10C3">
        <w:rPr>
          <w:i w:val="0"/>
          <w:iCs/>
        </w:rPr>
        <w:t xml:space="preserve">with students </w:t>
      </w:r>
      <w:r w:rsidR="000C1C22">
        <w:rPr>
          <w:i w:val="0"/>
          <w:iCs/>
        </w:rPr>
        <w:t xml:space="preserve">undertaking deep and authentic exploration of ideas or innovations. </w:t>
      </w:r>
      <w:r w:rsidR="0014116F">
        <w:rPr>
          <w:i w:val="0"/>
          <w:iCs/>
        </w:rPr>
        <w:t>This led to a more sophisticated application of RA2 in a range of approaches as students took the opportunity to explore ideas and innovations within a specific culture</w:t>
      </w:r>
      <w:r w:rsidR="00C61579">
        <w:rPr>
          <w:i w:val="0"/>
          <w:iCs/>
        </w:rPr>
        <w:t xml:space="preserve"> or across different cultures and time.</w:t>
      </w:r>
    </w:p>
    <w:p w14:paraId="76430049" w14:textId="271BFD63" w:rsidR="00201242" w:rsidRDefault="00201242" w:rsidP="00CC7AA8">
      <w:pPr>
        <w:pStyle w:val="SAABodytextitalics"/>
      </w:pPr>
      <w:r>
        <w:t>The more successful responses commonly:</w:t>
      </w:r>
    </w:p>
    <w:p w14:paraId="1B6E78D4" w14:textId="420F01AF" w:rsidR="00D13C99" w:rsidRPr="00D13C99" w:rsidRDefault="00B632EE" w:rsidP="00B632EE">
      <w:pPr>
        <w:pStyle w:val="SAABullets0"/>
      </w:pPr>
      <w:r>
        <w:t>e</w:t>
      </w:r>
      <w:r w:rsidR="00D13C99" w:rsidRPr="00D13C99">
        <w:t>xplore</w:t>
      </w:r>
      <w:r w:rsidR="00250217">
        <w:t>d</w:t>
      </w:r>
      <w:r w:rsidR="00D13C99" w:rsidRPr="00D13C99">
        <w:t xml:space="preserve"> concepts or ideas in detail without trying to cover multiple aspects of comparison</w:t>
      </w:r>
    </w:p>
    <w:p w14:paraId="781E259E" w14:textId="791E00B3" w:rsidR="00D13C99" w:rsidRPr="00D13C99" w:rsidRDefault="00B632EE" w:rsidP="00B632EE">
      <w:pPr>
        <w:pStyle w:val="SAABullets0"/>
      </w:pPr>
      <w:r>
        <w:t>w</w:t>
      </w:r>
      <w:r w:rsidR="00D13C99" w:rsidRPr="00D13C99">
        <w:t>ere explicit in the connections being made in the work and explored these with some depth</w:t>
      </w:r>
    </w:p>
    <w:p w14:paraId="4B10F064" w14:textId="1D8D714A" w:rsidR="006F1844" w:rsidRPr="006F1844" w:rsidRDefault="00B632EE" w:rsidP="00B632EE">
      <w:pPr>
        <w:pStyle w:val="SAABullets0"/>
      </w:pPr>
      <w:r>
        <w:t>d</w:t>
      </w:r>
      <w:r w:rsidR="006F1844" w:rsidRPr="006F1844">
        <w:t>irectly addressed the influence of ideas or innovations from the ancient world</w:t>
      </w:r>
      <w:r w:rsidR="005C57CE">
        <w:t xml:space="preserve">, </w:t>
      </w:r>
      <w:r w:rsidR="00204304">
        <w:t>avoiding broad sweeping generalisations</w:t>
      </w:r>
    </w:p>
    <w:p w14:paraId="63E31A05" w14:textId="6E0FA9BC" w:rsidR="006F1844" w:rsidRPr="006F1844" w:rsidRDefault="00B632EE" w:rsidP="00B632EE">
      <w:pPr>
        <w:pStyle w:val="SAABullets0"/>
      </w:pPr>
      <w:r>
        <w:t>m</w:t>
      </w:r>
      <w:r w:rsidR="006F1844" w:rsidRPr="006F1844">
        <w:t>oved beyond just examining the similarities and differences between societies and there was evidence of insightful analysis and evaluation of the connections between or within societies</w:t>
      </w:r>
    </w:p>
    <w:p w14:paraId="1A6A2F06" w14:textId="21BFC5F3" w:rsidR="006F1844" w:rsidRPr="006F1844" w:rsidRDefault="00B632EE" w:rsidP="00B632EE">
      <w:pPr>
        <w:pStyle w:val="SAABullets0"/>
      </w:pPr>
      <w:r>
        <w:t>u</w:t>
      </w:r>
      <w:r w:rsidR="006004E9">
        <w:t>tilised and synthesised a range of diverse sources, both primary and secondary, to support analysis</w:t>
      </w:r>
    </w:p>
    <w:p w14:paraId="29DDF82D" w14:textId="12A34536" w:rsidR="006F1844" w:rsidRPr="006F1844" w:rsidRDefault="00B632EE" w:rsidP="00B632EE">
      <w:pPr>
        <w:pStyle w:val="SAABullets0"/>
      </w:pPr>
      <w:r>
        <w:t>f</w:t>
      </w:r>
      <w:r w:rsidR="006F1844" w:rsidRPr="006F1844">
        <w:t>luently embedded evidence from sources</w:t>
      </w:r>
    </w:p>
    <w:p w14:paraId="1D2860E5" w14:textId="315AB9F1" w:rsidR="006F1844" w:rsidRPr="001C0D4E" w:rsidRDefault="00B632EE" w:rsidP="00B632EE">
      <w:pPr>
        <w:pStyle w:val="SAABullets0"/>
      </w:pPr>
      <w:r>
        <w:t>c</w:t>
      </w:r>
      <w:r w:rsidR="006F1844" w:rsidRPr="006F1844">
        <w:t>onsistently and appropriately acknowledged sources</w:t>
      </w:r>
      <w:r w:rsidR="001C0D4E">
        <w:t xml:space="preserve">, with </w:t>
      </w:r>
      <w:r w:rsidR="006F1844" w:rsidRPr="001C0D4E">
        <w:t xml:space="preserve">evidence of extensive research </w:t>
      </w:r>
      <w:r w:rsidR="001C0D4E">
        <w:t>demonstrated through the</w:t>
      </w:r>
      <w:r w:rsidR="006F1844" w:rsidRPr="001C0D4E">
        <w:t xml:space="preserve"> range of </w:t>
      </w:r>
      <w:r w:rsidR="001C0D4E">
        <w:t xml:space="preserve">high-quality </w:t>
      </w:r>
      <w:r w:rsidR="006F1844" w:rsidRPr="001C0D4E">
        <w:t>sources acknowledged in the bibliography</w:t>
      </w:r>
    </w:p>
    <w:p w14:paraId="3119E545" w14:textId="7EAB34AD" w:rsidR="006F1844" w:rsidRPr="006F1844" w:rsidRDefault="00B632EE" w:rsidP="00B632EE">
      <w:pPr>
        <w:pStyle w:val="SAABullets0"/>
      </w:pPr>
      <w:r>
        <w:t>p</w:t>
      </w:r>
      <w:r w:rsidR="006F1844" w:rsidRPr="006F1844">
        <w:t>ersuasive</w:t>
      </w:r>
      <w:r w:rsidR="001C0D4E">
        <w:t>ly</w:t>
      </w:r>
      <w:r w:rsidR="006F1844" w:rsidRPr="006F1844">
        <w:t xml:space="preserve"> communicat</w:t>
      </w:r>
      <w:r w:rsidR="001C0D4E">
        <w:t>ed</w:t>
      </w:r>
      <w:r w:rsidR="006F1844" w:rsidRPr="006F1844">
        <w:t xml:space="preserve"> points and ideas</w:t>
      </w:r>
      <w:r w:rsidR="001C0D4E">
        <w:t xml:space="preserve"> using </w:t>
      </w:r>
      <w:r w:rsidR="0023462B">
        <w:t>subject-specific language throughout their responses</w:t>
      </w:r>
    </w:p>
    <w:p w14:paraId="0B72D5F1" w14:textId="0A98B487" w:rsidR="00202F66" w:rsidRPr="001A3965" w:rsidRDefault="00B632EE" w:rsidP="00B632EE">
      <w:pPr>
        <w:pStyle w:val="SAABullets0"/>
      </w:pPr>
      <w:r>
        <w:t>e</w:t>
      </w:r>
      <w:r w:rsidR="006F1844" w:rsidRPr="006F1844">
        <w:t>xamined both written and archaeological sources</w:t>
      </w:r>
      <w:r w:rsidR="00AD51E8">
        <w:t xml:space="preserve"> to support their analysis</w:t>
      </w:r>
      <w:r>
        <w:t>.</w:t>
      </w:r>
    </w:p>
    <w:p w14:paraId="11346692" w14:textId="77777777" w:rsidR="00201242" w:rsidRDefault="00201242" w:rsidP="00CC7AA8">
      <w:pPr>
        <w:pStyle w:val="SAABodytextitalics"/>
      </w:pPr>
      <w:r>
        <w:t>The less successful responses commonly:</w:t>
      </w:r>
    </w:p>
    <w:p w14:paraId="5A609D3A" w14:textId="1BA6AD2C" w:rsidR="00E90FF1" w:rsidRPr="00A16554" w:rsidRDefault="00853514" w:rsidP="00853514">
      <w:pPr>
        <w:pStyle w:val="SAABullets0"/>
      </w:pPr>
      <w:r>
        <w:t>m</w:t>
      </w:r>
      <w:r w:rsidR="00E90FF1" w:rsidRPr="00A16554">
        <w:t>ade loose links to pop culture without showing a detailed knowledge or understanding of the ancient original or context</w:t>
      </w:r>
    </w:p>
    <w:p w14:paraId="1453E003" w14:textId="3BF96EDD" w:rsidR="00E90FF1" w:rsidRPr="00A16554" w:rsidRDefault="00853514" w:rsidP="00853514">
      <w:pPr>
        <w:pStyle w:val="SAABullets0"/>
      </w:pPr>
      <w:r>
        <w:t>d</w:t>
      </w:r>
      <w:r w:rsidR="00E90FF1" w:rsidRPr="00A16554">
        <w:t>id not provide evidence from original texts or other secondary source analysis to support student interpretations</w:t>
      </w:r>
    </w:p>
    <w:p w14:paraId="6896AE81" w14:textId="382B3587" w:rsidR="00E90FF1" w:rsidRPr="00A16554" w:rsidRDefault="00853514" w:rsidP="00853514">
      <w:pPr>
        <w:pStyle w:val="SAABullets0"/>
      </w:pPr>
      <w:r>
        <w:t>m</w:t>
      </w:r>
      <w:r w:rsidR="00E90FF1" w:rsidRPr="00A16554">
        <w:t>issed opportunities for A3 discussions on the nature of sources</w:t>
      </w:r>
    </w:p>
    <w:p w14:paraId="6EBE390A" w14:textId="26E98771" w:rsidR="00E90FF1" w:rsidRPr="00A16554" w:rsidRDefault="00853514" w:rsidP="00853514">
      <w:pPr>
        <w:pStyle w:val="SAABullets0"/>
      </w:pPr>
      <w:r>
        <w:t>r</w:t>
      </w:r>
      <w:r w:rsidR="00E90FF1" w:rsidRPr="00A16554">
        <w:t>elied on recounts of popular movies or TV shows</w:t>
      </w:r>
    </w:p>
    <w:p w14:paraId="129F1E0F" w14:textId="7532AAB1" w:rsidR="00E90FF1" w:rsidRPr="00A16554" w:rsidRDefault="00853514" w:rsidP="00853514">
      <w:pPr>
        <w:pStyle w:val="SAABullets0"/>
      </w:pPr>
      <w:r>
        <w:t>p</w:t>
      </w:r>
      <w:r w:rsidR="00E90FF1" w:rsidRPr="00A16554">
        <w:t>rovided noticeable formulaic or set phrases that appeared across multiple assessments for the sample indicating a lack of authentic student engagement with the task – or over scaffolding/editing of ideas/ work by teachers</w:t>
      </w:r>
    </w:p>
    <w:p w14:paraId="02006A18" w14:textId="47010F20" w:rsidR="0036645F" w:rsidRPr="00A16554" w:rsidRDefault="008F2248" w:rsidP="008F2248">
      <w:pPr>
        <w:pStyle w:val="SAABullets0"/>
      </w:pPr>
      <w:r>
        <w:lastRenderedPageBreak/>
        <w:t>f</w:t>
      </w:r>
      <w:r w:rsidR="0036645F" w:rsidRPr="00A16554">
        <w:t xml:space="preserve">ocused </w:t>
      </w:r>
      <w:r w:rsidR="00200769">
        <w:t>solely on</w:t>
      </w:r>
      <w:r w:rsidR="0036645F" w:rsidRPr="00A16554">
        <w:t xml:space="preserve"> similarities and differences when drawing connections between or within societies</w:t>
      </w:r>
      <w:r w:rsidR="00F61128">
        <w:t xml:space="preserve"> which </w:t>
      </w:r>
      <w:r w:rsidR="000C51FF">
        <w:t xml:space="preserve">prevented students from making the leap to discussing ideas, </w:t>
      </w:r>
      <w:proofErr w:type="gramStart"/>
      <w:r w:rsidR="000C51FF">
        <w:t>concepts</w:t>
      </w:r>
      <w:proofErr w:type="gramEnd"/>
      <w:r w:rsidR="000C51FF">
        <w:t xml:space="preserve"> or innovations in depth</w:t>
      </w:r>
    </w:p>
    <w:p w14:paraId="64F2D8AF" w14:textId="1EDBD5E7" w:rsidR="0036645F" w:rsidRPr="00A16554" w:rsidRDefault="008F2248" w:rsidP="008F2248">
      <w:pPr>
        <w:pStyle w:val="SAABullets0"/>
      </w:pPr>
      <w:r>
        <w:t>d</w:t>
      </w:r>
      <w:r w:rsidR="0036645F" w:rsidRPr="00A16554">
        <w:t xml:space="preserve">id not consider the </w:t>
      </w:r>
      <w:r w:rsidR="0036645F" w:rsidRPr="00A16554">
        <w:rPr>
          <w:b/>
        </w:rPr>
        <w:t xml:space="preserve">influence </w:t>
      </w:r>
      <w:r w:rsidR="0036645F" w:rsidRPr="00A16554">
        <w:t>of the ideas or innovations</w:t>
      </w:r>
      <w:r w:rsidR="000D3FF7">
        <w:t xml:space="preserve"> and forced a connection in a superficial way, unsupported by evidence</w:t>
      </w:r>
    </w:p>
    <w:p w14:paraId="536F93BB" w14:textId="43E7DEF4" w:rsidR="0036645F" w:rsidRPr="00A16554" w:rsidRDefault="008F2248" w:rsidP="008F2248">
      <w:pPr>
        <w:pStyle w:val="SAABullets0"/>
      </w:pPr>
      <w:r>
        <w:t>d</w:t>
      </w:r>
      <w:r w:rsidR="0036645F" w:rsidRPr="00A16554">
        <w:t>ealt with societies separately despite being asked to compare</w:t>
      </w:r>
      <w:r w:rsidR="000D3FF7">
        <w:t xml:space="preserve"> which resulted in an unbalanced discussion</w:t>
      </w:r>
    </w:p>
    <w:p w14:paraId="7A835BD3" w14:textId="74408AAA" w:rsidR="0036645F" w:rsidRPr="00A16554" w:rsidRDefault="008F2248" w:rsidP="008F2248">
      <w:pPr>
        <w:pStyle w:val="SAABullets0"/>
      </w:pPr>
      <w:r>
        <w:t>d</w:t>
      </w:r>
      <w:r w:rsidR="0036645F" w:rsidRPr="00A16554">
        <w:t>id not acknowledge sources</w:t>
      </w:r>
      <w:r w:rsidR="0081602B">
        <w:t xml:space="preserve"> or there was a limited use of sources and research to develop ideas</w:t>
      </w:r>
    </w:p>
    <w:p w14:paraId="1C66A743" w14:textId="76BC244B" w:rsidR="0036645F" w:rsidRDefault="008F2248" w:rsidP="008F2248">
      <w:pPr>
        <w:pStyle w:val="SAABullets0"/>
      </w:pPr>
      <w:r>
        <w:t>r</w:t>
      </w:r>
      <w:r w:rsidR="0036645F" w:rsidRPr="00A16554">
        <w:t>elied heavily on secondary sources with little to no analysis and evaluation of primary sources to support conclusions</w:t>
      </w:r>
    </w:p>
    <w:p w14:paraId="1CDB8370" w14:textId="3C1B5CAF" w:rsidR="00E90FF1" w:rsidRPr="001A3965" w:rsidRDefault="008F2248" w:rsidP="008F2248">
      <w:pPr>
        <w:pStyle w:val="SAABullets0"/>
      </w:pPr>
      <w:r>
        <w:t>d</w:t>
      </w:r>
      <w:r w:rsidR="0081602B">
        <w:t>id not fully utilise the allocated word count for the assessment type</w:t>
      </w:r>
      <w:r w:rsidR="00071DBD">
        <w:t xml:space="preserve"> which limited the ability to expand in a meaningful way on ideas</w:t>
      </w:r>
      <w:r>
        <w:t>.</w:t>
      </w:r>
    </w:p>
    <w:p w14:paraId="5C069FCD" w14:textId="77777777" w:rsidR="007F62E0" w:rsidRDefault="007F62E0" w:rsidP="00CC7AA8">
      <w:pPr>
        <w:pStyle w:val="SAAHeading1"/>
      </w:pPr>
      <w:r>
        <w:t>External Assessment</w:t>
      </w:r>
    </w:p>
    <w:p w14:paraId="052D7589" w14:textId="16C832A9" w:rsidR="00201242" w:rsidRPr="00C1719A" w:rsidRDefault="00C020E2" w:rsidP="00CC7AA8">
      <w:pPr>
        <w:pStyle w:val="SAAHeading2afterH1"/>
      </w:pPr>
      <w:r w:rsidRPr="00C1719A">
        <w:t>Assessment Type 3</w:t>
      </w:r>
      <w:r w:rsidR="00C1719A">
        <w:t xml:space="preserve">: </w:t>
      </w:r>
      <w:r w:rsidR="003F1B83">
        <w:t>Inquiry</w:t>
      </w:r>
    </w:p>
    <w:p w14:paraId="3C02B820" w14:textId="4CE0F6C7" w:rsidR="009564D6" w:rsidRDefault="00882E15" w:rsidP="008F2248">
      <w:pPr>
        <w:pStyle w:val="SAABodytext"/>
      </w:pPr>
      <w:r>
        <w:t>Students produce one literary, societal, or historical inquiry</w:t>
      </w:r>
      <w:r w:rsidR="003E27CD">
        <w:t xml:space="preserve">, which is presented as an informed and persuasive argument. The inquiry gives students an opportunity to explore an area </w:t>
      </w:r>
      <w:r w:rsidR="005E44D2">
        <w:t>of specialisation of individual interest where they propose and develop a particular point of view about an issue, as negotiated with their teacher.</w:t>
      </w:r>
    </w:p>
    <w:p w14:paraId="3907227B" w14:textId="50626125" w:rsidR="003314F5" w:rsidRPr="005E44D2" w:rsidRDefault="003314F5" w:rsidP="008F2248">
      <w:pPr>
        <w:pStyle w:val="SAABodytext"/>
      </w:pPr>
      <w:r>
        <w:t xml:space="preserve">Students may produce their informed </w:t>
      </w:r>
      <w:r w:rsidR="0044367F">
        <w:t xml:space="preserve">and persuasive argument </w:t>
      </w:r>
      <w:r w:rsidR="00E02A4D">
        <w:t xml:space="preserve">in the form of a written essay to a maximum of 2000 words, or in multimodal or oral form to a maximum of 12 minutes or equivalent. </w:t>
      </w:r>
      <w:r w:rsidR="008E30BE">
        <w:t>All features of the assessment design criteria for this subject are assessed in the inquiry.</w:t>
      </w:r>
    </w:p>
    <w:p w14:paraId="4F5E75AC" w14:textId="426F7F02" w:rsidR="00201242" w:rsidRDefault="00201242" w:rsidP="00CC7AA8">
      <w:pPr>
        <w:pStyle w:val="SAABodytextitalics"/>
      </w:pPr>
      <w:r>
        <w:t>The more successful responses commonly:</w:t>
      </w:r>
    </w:p>
    <w:p w14:paraId="4A685195" w14:textId="4E1790B6" w:rsidR="00352A0A" w:rsidRDefault="008F2248" w:rsidP="008F2248">
      <w:pPr>
        <w:pStyle w:val="SAABullets0"/>
      </w:pPr>
      <w:r>
        <w:t>h</w:t>
      </w:r>
      <w:r w:rsidR="00F33C3E">
        <w:t>ad a specific and achievable topic which invited a discussion of the historiography</w:t>
      </w:r>
    </w:p>
    <w:p w14:paraId="2A297855" w14:textId="16BB3E47" w:rsidR="00F33C3E" w:rsidRDefault="008F2248" w:rsidP="008F2248">
      <w:pPr>
        <w:pStyle w:val="SAABullets0"/>
      </w:pPr>
      <w:r>
        <w:t>d</w:t>
      </w:r>
      <w:r w:rsidR="00EE115A">
        <w:t>emonstrated a sound grasp of KU1 and KU2</w:t>
      </w:r>
    </w:p>
    <w:p w14:paraId="066949D4" w14:textId="4053FC9A" w:rsidR="00EE115A" w:rsidRDefault="008F2248" w:rsidP="008F2248">
      <w:pPr>
        <w:pStyle w:val="SAABullets0"/>
      </w:pPr>
      <w:r>
        <w:t>m</w:t>
      </w:r>
      <w:r w:rsidR="001A309C">
        <w:t>ade use of high</w:t>
      </w:r>
      <w:r w:rsidR="00611E40">
        <w:t>-</w:t>
      </w:r>
      <w:r w:rsidR="001A309C">
        <w:t>quality primary and secondary sources</w:t>
      </w:r>
    </w:p>
    <w:p w14:paraId="197E3A2A" w14:textId="3B0F85BE" w:rsidR="001A309C" w:rsidRDefault="008F2248" w:rsidP="008F2248">
      <w:pPr>
        <w:pStyle w:val="SAABullets0"/>
      </w:pPr>
      <w:r>
        <w:t>m</w:t>
      </w:r>
      <w:r w:rsidR="001A309C">
        <w:t>ade a genuine attempt to address RA2 in their work</w:t>
      </w:r>
      <w:r w:rsidR="006864F1">
        <w:t>. It was clear that teachers were better directing students in how to meet RA2</w:t>
      </w:r>
      <w:r w:rsidR="00797488">
        <w:t xml:space="preserve">, with responses inviting more discussion about ideas </w:t>
      </w:r>
      <w:r w:rsidR="00697851">
        <w:t>or</w:t>
      </w:r>
      <w:r w:rsidR="00797488">
        <w:t xml:space="preserve"> innovations</w:t>
      </w:r>
      <w:r w:rsidR="00334059">
        <w:t>,</w:t>
      </w:r>
      <w:r w:rsidR="00697851">
        <w:t xml:space="preserve"> and</w:t>
      </w:r>
      <w:r w:rsidR="00DE7F2C">
        <w:t xml:space="preserve"> considering their influence within and across different societies</w:t>
      </w:r>
    </w:p>
    <w:p w14:paraId="0F2A39F3" w14:textId="2B35E187" w:rsidR="001A309C" w:rsidRDefault="008F2248" w:rsidP="008F2248">
      <w:pPr>
        <w:pStyle w:val="SAABullets0"/>
      </w:pPr>
      <w:r>
        <w:t>h</w:t>
      </w:r>
      <w:r w:rsidR="00CB51F8">
        <w:t xml:space="preserve">ad well-formulated </w:t>
      </w:r>
      <w:r w:rsidR="009D7CA8">
        <w:t xml:space="preserve">and specific inquiry questions/topics </w:t>
      </w:r>
      <w:r w:rsidR="003B3912">
        <w:t>that allowed students to develop a worthwhile response</w:t>
      </w:r>
      <w:r w:rsidR="003E3FD4">
        <w:t xml:space="preserve">. </w:t>
      </w:r>
      <w:r w:rsidR="00816102">
        <w:t>Students and teachers are encouraged to work closely with one another at the question design stage</w:t>
      </w:r>
    </w:p>
    <w:p w14:paraId="112C53CB" w14:textId="6F933F6E" w:rsidR="009F6258" w:rsidRDefault="008F2248" w:rsidP="008F2248">
      <w:pPr>
        <w:pStyle w:val="SAABullets0"/>
      </w:pPr>
      <w:r>
        <w:t>w</w:t>
      </w:r>
      <w:r w:rsidR="009F6258">
        <w:t>ere prepared to do comparative studies across cultures and historical periods</w:t>
      </w:r>
    </w:p>
    <w:p w14:paraId="535311FC" w14:textId="2508EEC0" w:rsidR="009F6258" w:rsidRDefault="008F2248" w:rsidP="008F2248">
      <w:pPr>
        <w:pStyle w:val="SAABullets0"/>
      </w:pPr>
      <w:r>
        <w:t>c</w:t>
      </w:r>
      <w:r w:rsidR="005A41F3">
        <w:t>onsidered the perspective of the primary sources being used</w:t>
      </w:r>
      <w:r w:rsidR="00AD454A">
        <w:t xml:space="preserve"> when integrating them into their response</w:t>
      </w:r>
    </w:p>
    <w:p w14:paraId="53EDA8AF" w14:textId="613C7A11" w:rsidR="00AD454A" w:rsidRDefault="008F2248" w:rsidP="008F2248">
      <w:pPr>
        <w:pStyle w:val="SAABullets0"/>
      </w:pPr>
      <w:r>
        <w:t>s</w:t>
      </w:r>
      <w:r w:rsidR="00C57801">
        <w:t xml:space="preserve">ynthesised evidence and appropriately acknowledged all sources, providing evidence of </w:t>
      </w:r>
      <w:r w:rsidR="00CC5E66">
        <w:t xml:space="preserve">extensive research </w:t>
      </w:r>
    </w:p>
    <w:p w14:paraId="21D7E8DB" w14:textId="3D574320" w:rsidR="000E6250" w:rsidRDefault="008F2248" w:rsidP="008F2248">
      <w:pPr>
        <w:pStyle w:val="SAABullets0"/>
      </w:pPr>
      <w:r>
        <w:t>s</w:t>
      </w:r>
      <w:r w:rsidR="0019775E">
        <w:t>pent considerable time evaluating the nature of sources as evidence</w:t>
      </w:r>
      <w:r w:rsidR="00B17541">
        <w:t xml:space="preserve"> while still maintaining </w:t>
      </w:r>
      <w:r w:rsidR="00FC0785">
        <w:t xml:space="preserve">balance in their argument. Inquiries that </w:t>
      </w:r>
      <w:r w:rsidR="00307DA2">
        <w:t xml:space="preserve">balanced source credibility, content and argument were best placed to present a synthesised response </w:t>
      </w:r>
      <w:r w:rsidR="005A5EB6">
        <w:t>that fully answered the question</w:t>
      </w:r>
    </w:p>
    <w:p w14:paraId="779F156A" w14:textId="21EEF3AE" w:rsidR="00530CC7" w:rsidRPr="00352A0A" w:rsidRDefault="008F2248" w:rsidP="008F2248">
      <w:pPr>
        <w:pStyle w:val="SAABullets0"/>
      </w:pPr>
      <w:r>
        <w:t>p</w:t>
      </w:r>
      <w:r w:rsidR="00343A79">
        <w:t xml:space="preserve">aid attention to a range of sources, with some inquiries also making use of </w:t>
      </w:r>
      <w:r w:rsidR="00B5134D">
        <w:t>visual material and drawing on archaeological evidence to support arguments</w:t>
      </w:r>
      <w:r w:rsidR="00C84CFA">
        <w:t>. Most inquiries provided both primary and secondary sources demonstrating a genuine effort by students to research widely and provide evidence of this via both intext referencing and by supplying a bibliography</w:t>
      </w:r>
    </w:p>
    <w:p w14:paraId="09583A02" w14:textId="77777777" w:rsidR="00280BFB" w:rsidRDefault="00280BFB" w:rsidP="00CC7AA8">
      <w:pPr>
        <w:pStyle w:val="SAABodytextitalics"/>
      </w:pPr>
      <w:r>
        <w:t>The less successful responses commonly:</w:t>
      </w:r>
    </w:p>
    <w:p w14:paraId="7B60F0C2" w14:textId="26E740A3" w:rsidR="00610746" w:rsidRDefault="008F2248" w:rsidP="008F2248">
      <w:pPr>
        <w:pStyle w:val="SAABullets0"/>
      </w:pPr>
      <w:r>
        <w:t>h</w:t>
      </w:r>
      <w:r w:rsidR="00113E01">
        <w:t>ad poorly formulated questions or no specific question at all</w:t>
      </w:r>
      <w:r w:rsidR="001E17D0">
        <w:t xml:space="preserve">. These questions did not invite a reasoned historical argument and </w:t>
      </w:r>
      <w:r w:rsidR="009F09D7">
        <w:t>often led to historical recount of events</w:t>
      </w:r>
    </w:p>
    <w:p w14:paraId="79DB79C0" w14:textId="3E49D767" w:rsidR="00610746" w:rsidRPr="00610746" w:rsidRDefault="008F2248" w:rsidP="008F2248">
      <w:pPr>
        <w:pStyle w:val="SAABullets0"/>
      </w:pPr>
      <w:r>
        <w:t>h</w:t>
      </w:r>
      <w:r w:rsidR="00410A62">
        <w:t>ad questions that lacked clarity</w:t>
      </w:r>
      <w:r w:rsidR="00CD65CA">
        <w:t xml:space="preserve"> which led to confusing, vague</w:t>
      </w:r>
      <w:r w:rsidR="00CB1FCD">
        <w:t>,</w:t>
      </w:r>
      <w:r w:rsidR="00CD65CA">
        <w:t xml:space="preserve"> and incoherent discussions</w:t>
      </w:r>
    </w:p>
    <w:p w14:paraId="63AF35AC" w14:textId="1955907B" w:rsidR="00113E01" w:rsidRDefault="008F2248" w:rsidP="008F2248">
      <w:pPr>
        <w:pStyle w:val="SAABullets0"/>
      </w:pPr>
      <w:r>
        <w:lastRenderedPageBreak/>
        <w:t>h</w:t>
      </w:r>
      <w:r w:rsidR="009365BC">
        <w:t>ad a topic so broad in scope it made it difficult for students to develop a worthwhile response</w:t>
      </w:r>
    </w:p>
    <w:p w14:paraId="7419BA3A" w14:textId="14C9B69C" w:rsidR="009365BC" w:rsidRDefault="008F2248" w:rsidP="008F2248">
      <w:pPr>
        <w:pStyle w:val="SAABullets0"/>
      </w:pPr>
      <w:r>
        <w:t>w</w:t>
      </w:r>
      <w:r w:rsidR="00A51340">
        <w:t>ere overly ambitious in completing comparative studies that covered a large period and did not allow students to develop depth in their analysis and arguments</w:t>
      </w:r>
    </w:p>
    <w:p w14:paraId="786065E3" w14:textId="5E02B504" w:rsidR="00A51340" w:rsidRDefault="008F2248" w:rsidP="008F2248">
      <w:pPr>
        <w:pStyle w:val="SAABullets0"/>
      </w:pPr>
      <w:r>
        <w:t>l</w:t>
      </w:r>
      <w:r w:rsidR="00037BF8">
        <w:t xml:space="preserve">acked depth in </w:t>
      </w:r>
      <w:r w:rsidR="00687795">
        <w:t>their understanding of literary, historical and/or archaeological concepts</w:t>
      </w:r>
    </w:p>
    <w:p w14:paraId="18B640C6" w14:textId="4AB0DD31" w:rsidR="007B24D3" w:rsidRDefault="008F2248" w:rsidP="008F2248">
      <w:pPr>
        <w:pStyle w:val="SAABullets0"/>
      </w:pPr>
      <w:r>
        <w:t>p</w:t>
      </w:r>
      <w:r w:rsidR="007B24D3">
        <w:t>resented secondary source material as primary sources</w:t>
      </w:r>
    </w:p>
    <w:p w14:paraId="54DE470F" w14:textId="0B717B22" w:rsidR="007B24D3" w:rsidRDefault="008F2248" w:rsidP="008F2248">
      <w:pPr>
        <w:pStyle w:val="SAABullets0"/>
      </w:pPr>
      <w:r>
        <w:t>q</w:t>
      </w:r>
      <w:r w:rsidR="007B24D3">
        <w:t>uoted primary source material but did not consider</w:t>
      </w:r>
      <w:r w:rsidR="006D783B">
        <w:t xml:space="preserve"> that a primary source may give a particular perspective</w:t>
      </w:r>
    </w:p>
    <w:p w14:paraId="0D9FE7A9" w14:textId="67EA58D9" w:rsidR="009D2DD2" w:rsidRDefault="008F2248" w:rsidP="008F2248">
      <w:pPr>
        <w:pStyle w:val="SAABullets0"/>
      </w:pPr>
      <w:r>
        <w:t>d</w:t>
      </w:r>
      <w:r w:rsidR="00376EE4">
        <w:t xml:space="preserve">id not evaluate the nature of sources and evidence </w:t>
      </w:r>
      <w:r w:rsidR="003E3AC1">
        <w:t>in their response</w:t>
      </w:r>
      <w:r>
        <w:t>.</w:t>
      </w:r>
    </w:p>
    <w:p w14:paraId="111DFD6E" w14:textId="10D1114B" w:rsidR="00F05D6E" w:rsidRDefault="000E7758" w:rsidP="008F2248">
      <w:pPr>
        <w:pStyle w:val="SAAHeading4"/>
      </w:pPr>
      <w:r>
        <w:t xml:space="preserve">General </w:t>
      </w:r>
      <w:r w:rsidR="008F2248">
        <w:t>c</w:t>
      </w:r>
      <w:r>
        <w:t xml:space="preserve">omments or </w:t>
      </w:r>
      <w:r w:rsidR="008F2248">
        <w:t>o</w:t>
      </w:r>
      <w:r>
        <w:t>bservations</w:t>
      </w:r>
    </w:p>
    <w:p w14:paraId="6C1F3EDC" w14:textId="71911952" w:rsidR="00DC34A4" w:rsidRDefault="008F2248" w:rsidP="008F2248">
      <w:pPr>
        <w:pStyle w:val="SAABullets0"/>
      </w:pPr>
      <w:r>
        <w:t>m</w:t>
      </w:r>
      <w:r w:rsidR="00DC34A4">
        <w:t>any courses continue to utilise traditional ‘Classical Studies’ type topics from the Roman and Greek world</w:t>
      </w:r>
    </w:p>
    <w:p w14:paraId="56FBF9FA" w14:textId="0DD32817" w:rsidR="00033468" w:rsidRDefault="008F2248" w:rsidP="008F2248">
      <w:pPr>
        <w:pStyle w:val="SAABullets0"/>
      </w:pPr>
      <w:r>
        <w:t>t</w:t>
      </w:r>
      <w:r w:rsidR="00033468">
        <w:t>he quality of analysis was high across the student samples. More attention is being paid to the nature of source material and concepts and it is making for more analytical discussion in student work in the higher grade-bands</w:t>
      </w:r>
    </w:p>
    <w:p w14:paraId="13263754" w14:textId="6C1CDE95" w:rsidR="000E7758" w:rsidRDefault="008F2248" w:rsidP="008F2248">
      <w:pPr>
        <w:pStyle w:val="SAABullets0"/>
      </w:pPr>
      <w:r>
        <w:t>t</w:t>
      </w:r>
      <w:r w:rsidR="003D4353">
        <w:t>eachers are encouraged to guide students in authentically using primary source material and to take every opportunity to consider A3 when utilising ancient and modern source material</w:t>
      </w:r>
    </w:p>
    <w:p w14:paraId="5DFE4087" w14:textId="0A6A5B75" w:rsidR="003B6F67" w:rsidRDefault="008F2248" w:rsidP="008F2248">
      <w:pPr>
        <w:pStyle w:val="SAABullets0"/>
      </w:pPr>
      <w:r>
        <w:t>t</w:t>
      </w:r>
      <w:r w:rsidR="00DE799D">
        <w:t xml:space="preserve">eachers </w:t>
      </w:r>
      <w:r w:rsidR="00CF62F9">
        <w:t>are encouraged to be more</w:t>
      </w:r>
      <w:r w:rsidR="00DE799D">
        <w:t xml:space="preserve"> selective in the sources they provide to students for timed ‘source analysis style’ </w:t>
      </w:r>
      <w:r w:rsidR="007B2E4E">
        <w:t>assessments. Some tasks had 2-4 full pages of sources for students to refer to</w:t>
      </w:r>
      <w:r w:rsidR="00402A66">
        <w:t xml:space="preserve"> while asking</w:t>
      </w:r>
      <w:r w:rsidR="0025750A">
        <w:t xml:space="preserve"> </w:t>
      </w:r>
      <w:r w:rsidR="00D61216">
        <w:t>them</w:t>
      </w:r>
      <w:r w:rsidR="0025750A">
        <w:t xml:space="preserve"> to </w:t>
      </w:r>
      <w:r w:rsidR="00D61216">
        <w:t xml:space="preserve">examine </w:t>
      </w:r>
      <w:r w:rsidR="0025750A">
        <w:t>different source material for each question</w:t>
      </w:r>
      <w:r w:rsidR="004F741F">
        <w:t xml:space="preserve"> and only one extended response to support development of a sustained interaction with sources or ideas. </w:t>
      </w:r>
      <w:r w:rsidR="00E6762D">
        <w:t>If not carefully constructed this approach can lead to a disjointed application of understanding and limits the students’ abilities to engage in a meaningful way with source material to provide a comprehensive and insightful analysis of the ancient world</w:t>
      </w:r>
    </w:p>
    <w:p w14:paraId="591A9EC6" w14:textId="6669D80E" w:rsidR="003B6F67" w:rsidRDefault="008F2248" w:rsidP="008F2248">
      <w:pPr>
        <w:pStyle w:val="SAABullets0"/>
      </w:pPr>
      <w:r>
        <w:t>t</w:t>
      </w:r>
      <w:r w:rsidR="003B6F67">
        <w:t>he more successful timed responses enabled students to critically analyse material, not just simply recount information. Task design that encouraged one or two sentence answers in response to a set source, include</w:t>
      </w:r>
      <w:r w:rsidR="00870F52">
        <w:t>d</w:t>
      </w:r>
      <w:r w:rsidR="003B6F67">
        <w:t xml:space="preserve"> multiple choice questions or ask</w:t>
      </w:r>
      <w:r w:rsidR="00870F52">
        <w:t>ed</w:t>
      </w:r>
      <w:r w:rsidR="003B6F67">
        <w:t xml:space="preserve"> students to respond briefly to extensive text</w:t>
      </w:r>
      <w:r w:rsidR="008C0BDF">
        <w:t>,</w:t>
      </w:r>
      <w:r w:rsidR="003B6F67">
        <w:t xml:space="preserve"> limit</w:t>
      </w:r>
      <w:r w:rsidR="008C0BDF">
        <w:t>ed</w:t>
      </w:r>
      <w:r w:rsidR="003B6F67">
        <w:t xml:space="preserve"> their ability to engage in detail with the material and demonstrate in-depth and critical understanding</w:t>
      </w:r>
    </w:p>
    <w:p w14:paraId="72D2A950" w14:textId="5D78D3A1" w:rsidR="008E1286" w:rsidRDefault="008F2248" w:rsidP="008F2248">
      <w:pPr>
        <w:pStyle w:val="SAABullets0"/>
      </w:pPr>
      <w:r>
        <w:t>t</w:t>
      </w:r>
      <w:r w:rsidR="008F2998">
        <w:t xml:space="preserve">ask design is critical </w:t>
      </w:r>
      <w:r w:rsidR="00E9445A">
        <w:t>to ensure students are achieving across the full range of performance standards selected by the teacher</w:t>
      </w:r>
      <w:r w:rsidR="00225867">
        <w:t>. In AT2, successful responses were commonly found in tasks where students were asked to specifically address the RA2 performance standard in the assessment design</w:t>
      </w:r>
    </w:p>
    <w:p w14:paraId="44E826F7" w14:textId="479CC67B" w:rsidR="004F5C7C" w:rsidRDefault="008F2248" w:rsidP="008F2248">
      <w:pPr>
        <w:pStyle w:val="SAABullets0"/>
      </w:pPr>
      <w:r>
        <w:t>t</w:t>
      </w:r>
      <w:r w:rsidR="00881EAA">
        <w:t>eachers are continuing to put in work at the A</w:t>
      </w:r>
      <w:r w:rsidR="00130210">
        <w:t>+ that is not supported by evidence</w:t>
      </w:r>
      <w:r w:rsidR="006470EE">
        <w:t>, or t</w:t>
      </w:r>
      <w:r w:rsidR="00130210">
        <w:t>he evidence provided does not reflect the calibration A+ on P</w:t>
      </w:r>
      <w:r w:rsidR="008B4709">
        <w:t>lato</w:t>
      </w:r>
      <w:r w:rsidR="006470EE">
        <w:t>. Teachers are encouraged to</w:t>
      </w:r>
      <w:r w:rsidR="00543990">
        <w:t xml:space="preserve"> re-visit this example before deciding to award the A+</w:t>
      </w:r>
      <w:r w:rsidR="004F5C7C">
        <w:t>. This applies to both AT1 and AT2</w:t>
      </w:r>
    </w:p>
    <w:p w14:paraId="00E932CC" w14:textId="79BBEE46" w:rsidR="003140DC" w:rsidRDefault="008F2248" w:rsidP="008F2248">
      <w:pPr>
        <w:pStyle w:val="SAABullets0"/>
      </w:pPr>
      <w:r>
        <w:t>t</w:t>
      </w:r>
      <w:r w:rsidR="003140DC">
        <w:t>eachers need to ensure that audio files</w:t>
      </w:r>
      <w:r w:rsidR="003457C6">
        <w:t>/recordings</w:t>
      </w:r>
      <w:r w:rsidR="003140DC">
        <w:t xml:space="preserve"> are audible before uploading to Schools Online. Where no written support material was also provided</w:t>
      </w:r>
      <w:r w:rsidR="004945FB">
        <w:t xml:space="preserve">, it was difficult to </w:t>
      </w:r>
      <w:r w:rsidR="00886ABA">
        <w:t>identify</w:t>
      </w:r>
      <w:r w:rsidR="00B7300B">
        <w:t xml:space="preserve"> evidence of students’ achievements against the standards</w:t>
      </w:r>
      <w:r>
        <w:t>.</w:t>
      </w:r>
    </w:p>
    <w:p w14:paraId="05D02B11" w14:textId="522A2F66" w:rsidR="008B286F" w:rsidRPr="009F4254" w:rsidRDefault="009E36A7" w:rsidP="008F2248">
      <w:pPr>
        <w:pStyle w:val="SAAHeading4"/>
      </w:pPr>
      <w:r w:rsidRPr="009F4254">
        <w:t xml:space="preserve">For further support </w:t>
      </w:r>
      <w:r w:rsidR="00E66F21" w:rsidRPr="009F4254">
        <w:t>on unpacking the Assessment Design Criteria, please see the following links:</w:t>
      </w:r>
    </w:p>
    <w:p w14:paraId="46F5324A" w14:textId="5CAFC888" w:rsidR="009F4254" w:rsidRDefault="009F4254" w:rsidP="008F2248">
      <w:pPr>
        <w:pStyle w:val="SAABullets0"/>
      </w:pPr>
      <w:r>
        <w:t xml:space="preserve">Understanding the ADC – Knowledge and Understanding </w:t>
      </w:r>
      <w:hyperlink r:id="rId9" w:history="1">
        <w:r w:rsidRPr="005A2968">
          <w:rPr>
            <w:rStyle w:val="Hyperlink"/>
          </w:rPr>
          <w:t>https://www.sace.sa.edu.au/documents/652891/1c90fca3-c7b3-5a89-ad51-cbf42684b3cb</w:t>
        </w:r>
      </w:hyperlink>
    </w:p>
    <w:p w14:paraId="7719B3D1" w14:textId="77777777" w:rsidR="009F4254" w:rsidRDefault="009F4254" w:rsidP="008F2248">
      <w:pPr>
        <w:pStyle w:val="SAABullets0"/>
      </w:pPr>
      <w:r>
        <w:t xml:space="preserve">Understanding the ADC – Research and Analysis </w:t>
      </w:r>
      <w:hyperlink r:id="rId10" w:history="1">
        <w:r w:rsidRPr="005A2968">
          <w:rPr>
            <w:rStyle w:val="Hyperlink"/>
          </w:rPr>
          <w:t>https://www.sace.sa.edu.au/documents/652891/03a916d0-e787-c120-96b1-65c1dad7d453</w:t>
        </w:r>
      </w:hyperlink>
    </w:p>
    <w:p w14:paraId="37692CC1" w14:textId="3AB2C419" w:rsidR="00E66F21" w:rsidRDefault="008D2E22" w:rsidP="008F2248">
      <w:pPr>
        <w:pStyle w:val="SAABullets0"/>
      </w:pPr>
      <w:r>
        <w:t xml:space="preserve">Understanding the ADC – Application </w:t>
      </w:r>
      <w:hyperlink r:id="rId11" w:history="1">
        <w:r w:rsidRPr="005A2968">
          <w:rPr>
            <w:rStyle w:val="Hyperlink"/>
          </w:rPr>
          <w:t>https://www.sace.sa.edu.au/documents/652891/ba9e5ade-bc39-0a0e-02cd-69b96ac88c22</w:t>
        </w:r>
      </w:hyperlink>
    </w:p>
    <w:sectPr w:rsidR="00E66F21" w:rsidSect="00201242">
      <w:headerReference w:type="default" r:id="rId12"/>
      <w:footerReference w:type="default" r:id="rId13"/>
      <w:headerReference w:type="first" r:id="rId14"/>
      <w:footerReference w:type="first" r:id="rId15"/>
      <w:pgSz w:w="11906" w:h="16838"/>
      <w:pgMar w:top="965" w:right="1133" w:bottom="1440"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B347C7" w14:textId="77777777" w:rsidR="00E83274" w:rsidRDefault="00E83274" w:rsidP="00131B77">
      <w:pPr>
        <w:spacing w:after="0"/>
      </w:pPr>
      <w:r>
        <w:separator/>
      </w:r>
    </w:p>
  </w:endnote>
  <w:endnote w:type="continuationSeparator" w:id="0">
    <w:p w14:paraId="14399A2A" w14:textId="77777777" w:rsidR="00E83274" w:rsidRDefault="00E83274" w:rsidP="00131B7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Roboto Light">
    <w:panose1 w:val="02000000000000000000"/>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boto">
    <w:panose1 w:val="02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 w:name="Roboto Medium">
    <w:panose1 w:val="02000000000000000000"/>
    <w:charset w:val="00"/>
    <w:family w:val="auto"/>
    <w:pitch w:val="variable"/>
    <w:sig w:usb0="E00002FF" w:usb1="5000205B" w:usb2="0000002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F0F5F" w14:textId="298B57FE" w:rsidR="00276ED3" w:rsidRDefault="00276ED3" w:rsidP="00276ED3">
    <w:pPr>
      <w:pStyle w:val="Footer"/>
      <w:tabs>
        <w:tab w:val="clear" w:pos="9026"/>
        <w:tab w:val="right" w:pos="9639"/>
      </w:tabs>
    </w:pPr>
    <w:r>
      <w:t>S</w:t>
    </w:r>
    <w:r w:rsidRPr="00201242">
      <w:t xml:space="preserve">tage 2 </w:t>
    </w:r>
    <w:r>
      <w:t>A</w:t>
    </w:r>
    <w:r w:rsidR="008F2248">
      <w:t>ncient Studies</w:t>
    </w:r>
    <w:r w:rsidRPr="00C725E4">
      <w:t xml:space="preserve"> </w:t>
    </w:r>
    <w:r>
      <w:t>– 202</w:t>
    </w:r>
    <w:r w:rsidR="00BF4F06">
      <w:t>1</w:t>
    </w:r>
    <w:r>
      <w:t xml:space="preserve"> </w:t>
    </w:r>
    <w:r w:rsidRPr="00201242">
      <w:t>Subject Assessment Advice</w:t>
    </w:r>
    <w:r>
      <w:tab/>
    </w:r>
    <w:r>
      <w:tab/>
      <w:t xml:space="preserve">Page </w:t>
    </w:r>
    <w:r>
      <w:rPr>
        <w:sz w:val="24"/>
        <w:szCs w:val="24"/>
      </w:rPr>
      <w:fldChar w:fldCharType="begin"/>
    </w:r>
    <w:r>
      <w:instrText xml:space="preserve"> PAGE </w:instrText>
    </w:r>
    <w:r>
      <w:rPr>
        <w:sz w:val="24"/>
        <w:szCs w:val="24"/>
      </w:rPr>
      <w:fldChar w:fldCharType="separate"/>
    </w:r>
    <w:r>
      <w:rPr>
        <w:noProof/>
      </w:rPr>
      <w:t>3</w:t>
    </w:r>
    <w:r>
      <w:rPr>
        <w:sz w:val="24"/>
        <w:szCs w:val="24"/>
      </w:rPr>
      <w:fldChar w:fldCharType="end"/>
    </w:r>
    <w:r>
      <w:t xml:space="preserve"> of </w:t>
    </w:r>
    <w:fldSimple w:instr=" NUMPAGES  ">
      <w:r>
        <w:rPr>
          <w:noProof/>
        </w:rPr>
        <w:t>3</w:t>
      </w:r>
    </w:fldSimple>
  </w:p>
  <w:p w14:paraId="63DD79C4" w14:textId="55264FCC" w:rsidR="00276ED3" w:rsidRPr="00C725E4" w:rsidRDefault="00276ED3" w:rsidP="00AB426E">
    <w:pPr>
      <w:pStyle w:val="Footer"/>
    </w:pPr>
    <w:r w:rsidRPr="00CC7AA8">
      <w:t>Ref:</w:t>
    </w:r>
    <w:r w:rsidR="00D22C37">
      <w:t xml:space="preserve"> </w:t>
    </w:r>
    <w:r w:rsidR="008F2248">
      <w:t>A1063810</w:t>
    </w:r>
    <w:r w:rsidR="00D22C37">
      <w:t xml:space="preserve"> </w:t>
    </w:r>
    <w:r w:rsidRPr="00CC7AA8">
      <w:t xml:space="preserve">© SACE Board of South Australia </w:t>
    </w:r>
    <w:r>
      <w:t>202</w:t>
    </w:r>
    <w:r w:rsidR="00D22C37">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D14F7" w14:textId="28CE8C44" w:rsidR="00C725E4" w:rsidRDefault="00201242" w:rsidP="00484047">
    <w:pPr>
      <w:pStyle w:val="Footer"/>
      <w:tabs>
        <w:tab w:val="clear" w:pos="9026"/>
        <w:tab w:val="right" w:pos="9639"/>
      </w:tabs>
    </w:pPr>
    <w:r>
      <w:t>S</w:t>
    </w:r>
    <w:r w:rsidRPr="00201242">
      <w:t xml:space="preserve">tage 2 </w:t>
    </w:r>
    <w:r w:rsidR="0075307B">
      <w:t>Ancient Studies</w:t>
    </w:r>
    <w:r w:rsidRPr="00C725E4">
      <w:t xml:space="preserve"> </w:t>
    </w:r>
    <w:r w:rsidR="007510E0">
      <w:t xml:space="preserve">– </w:t>
    </w:r>
    <w:r w:rsidR="001D4E0B">
      <w:t>202</w:t>
    </w:r>
    <w:r w:rsidR="00BF4F06">
      <w:t>1</w:t>
    </w:r>
    <w:r w:rsidRPr="00201242">
      <w:t xml:space="preserve"> Subject Assessment Advice</w:t>
    </w:r>
    <w:r w:rsidR="00C725E4">
      <w:tab/>
    </w:r>
    <w:r w:rsidR="00AB426E">
      <w:tab/>
    </w:r>
    <w:r w:rsidR="00C725E4">
      <w:t xml:space="preserve">Page </w:t>
    </w:r>
    <w:r w:rsidR="00C725E4">
      <w:rPr>
        <w:sz w:val="24"/>
        <w:szCs w:val="24"/>
      </w:rPr>
      <w:fldChar w:fldCharType="begin"/>
    </w:r>
    <w:r w:rsidR="00C725E4">
      <w:instrText xml:space="preserve"> PAGE </w:instrText>
    </w:r>
    <w:r w:rsidR="00C725E4">
      <w:rPr>
        <w:sz w:val="24"/>
        <w:szCs w:val="24"/>
      </w:rPr>
      <w:fldChar w:fldCharType="separate"/>
    </w:r>
    <w:r w:rsidR="00FA2472">
      <w:rPr>
        <w:noProof/>
      </w:rPr>
      <w:t>2</w:t>
    </w:r>
    <w:r w:rsidR="00C725E4">
      <w:rPr>
        <w:sz w:val="24"/>
        <w:szCs w:val="24"/>
      </w:rPr>
      <w:fldChar w:fldCharType="end"/>
    </w:r>
    <w:r w:rsidR="00C725E4">
      <w:t xml:space="preserve"> of </w:t>
    </w:r>
    <w:fldSimple w:instr=" NUMPAGES  ">
      <w:r w:rsidR="00FA2472">
        <w:rPr>
          <w:noProof/>
        </w:rPr>
        <w:t>3</w:t>
      </w:r>
    </w:fldSimple>
  </w:p>
  <w:p w14:paraId="4D4A0219" w14:textId="12406BD7" w:rsidR="00201242" w:rsidRDefault="00201242" w:rsidP="00AB426E">
    <w:pPr>
      <w:pStyle w:val="Footer"/>
    </w:pPr>
    <w:r w:rsidRPr="00293B3D">
      <w:t xml:space="preserve">Ref: </w:t>
    </w:r>
    <w:r w:rsidR="008F2248">
      <w:t>A1063810</w:t>
    </w:r>
    <w:r w:rsidR="008737A7">
      <w:t xml:space="preserve"> </w:t>
    </w:r>
    <w:r w:rsidRPr="00293B3D">
      <w:t>© SA</w:t>
    </w:r>
    <w:r>
      <w:t xml:space="preserve">CE Board of South Australia </w:t>
    </w:r>
    <w:r w:rsidR="001D4E0B">
      <w:t>202</w:t>
    </w:r>
    <w:r w:rsidR="00A924F5">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413EFC" w14:textId="77777777" w:rsidR="00E83274" w:rsidRDefault="00E83274" w:rsidP="00131B77">
      <w:pPr>
        <w:spacing w:after="0"/>
      </w:pPr>
      <w:r>
        <w:separator/>
      </w:r>
    </w:p>
  </w:footnote>
  <w:footnote w:type="continuationSeparator" w:id="0">
    <w:p w14:paraId="5BFA5C91" w14:textId="77777777" w:rsidR="00E83274" w:rsidRDefault="00E83274" w:rsidP="00131B7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AB76C" w14:textId="1C8162E9" w:rsidR="007320D7" w:rsidRDefault="00B632EE">
    <w:pPr>
      <w:pStyle w:val="Header"/>
    </w:pPr>
    <w:r>
      <w:rPr>
        <w:noProof/>
      </w:rPr>
      <mc:AlternateContent>
        <mc:Choice Requires="wps">
          <w:drawing>
            <wp:anchor distT="0" distB="0" distL="114300" distR="114300" simplePos="0" relativeHeight="251661312" behindDoc="0" locked="0" layoutInCell="0" allowOverlap="1" wp14:anchorId="2ABC39EC" wp14:editId="507912F0">
              <wp:simplePos x="0" y="0"/>
              <wp:positionH relativeFrom="page">
                <wp:posOffset>0</wp:posOffset>
              </wp:positionH>
              <wp:positionV relativeFrom="page">
                <wp:posOffset>190500</wp:posOffset>
              </wp:positionV>
              <wp:extent cx="7560310" cy="252095"/>
              <wp:effectExtent l="0" t="0" r="0" b="14605"/>
              <wp:wrapNone/>
              <wp:docPr id="1" name="MSIPCMad5348a9bbd031f2cdc817dc" descr="{&quot;HashCode&quot;:117806203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C671113" w14:textId="38A07067" w:rsidR="00B632EE" w:rsidRPr="00B632EE" w:rsidRDefault="00B632EE" w:rsidP="00B632EE">
                          <w:pPr>
                            <w:spacing w:after="0"/>
                            <w:jc w:val="center"/>
                            <w:rPr>
                              <w:rFonts w:ascii="Arial" w:hAnsi="Arial" w:cs="Arial"/>
                              <w:color w:val="A80000"/>
                              <w:sz w:val="24"/>
                            </w:rPr>
                          </w:pPr>
                          <w:r w:rsidRPr="00B632EE">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2ABC39EC" id="_x0000_t202" coordsize="21600,21600" o:spt="202" path="m,l,21600r21600,l21600,xe">
              <v:stroke joinstyle="miter"/>
              <v:path gradientshapeok="t" o:connecttype="rect"/>
            </v:shapetype>
            <v:shape id="MSIPCMad5348a9bbd031f2cdc817dc" o:spid="_x0000_s1026" type="#_x0000_t202" alt="{&quot;HashCode&quot;:1178062039,&quot;Height&quot;:841.0,&quot;Width&quot;:595.0,&quot;Placement&quot;:&quot;Header&quot;,&quot;Index&quot;:&quot;Primary&quot;,&quot;Section&quot;:1,&quot;Top&quot;:0.0,&quot;Left&quot;:0.0}" style="position:absolute;margin-left:0;margin-top:15pt;width:595.3pt;height:19.85pt;z-index:25166131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" o:allowincell="f" filled="f" stroked="f" strokeweight=".5pt">
              <v:textbox inset=",0,,0">
                <w:txbxContent>
                  <w:p w14:paraId="3C671113" w14:textId="38A07067" w:rsidR="00B632EE" w:rsidRPr="00B632EE" w:rsidRDefault="00B632EE" w:rsidP="00B632EE">
                    <w:pPr>
                      <w:spacing w:after="0"/>
                      <w:jc w:val="center"/>
                      <w:rPr>
                        <w:rFonts w:ascii="Arial" w:hAnsi="Arial" w:cs="Arial"/>
                        <w:color w:val="A80000"/>
                        <w:sz w:val="24"/>
                      </w:rPr>
                    </w:pPr>
                    <w:r w:rsidRPr="00B632EE">
                      <w:rPr>
                        <w:rFonts w:ascii="Arial" w:hAnsi="Arial" w:cs="Arial"/>
                        <w:color w:val="A80000"/>
                        <w:sz w:val="24"/>
                      </w:rPr>
                      <w:t>OFFICIAL</w:t>
                    </w:r>
                  </w:p>
                </w:txbxContent>
              </v:textbox>
              <w10:wrap anchorx="page" anchory="page"/>
            </v:shape>
          </w:pict>
        </mc:Fallback>
      </mc:AlternateContent>
    </w:r>
  </w:p>
  <w:p w14:paraId="440273E0" w14:textId="43632622" w:rsidR="00011C19" w:rsidRDefault="00011C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D0A32" w14:textId="083B7C81" w:rsidR="00802862" w:rsidRDefault="00041E69">
    <w:pPr>
      <w:pStyle w:val="Header"/>
    </w:pPr>
    <w:r w:rsidRPr="00640314">
      <w:rPr>
        <w:noProof/>
        <w:lang w:eastAsia="en-AU"/>
      </w:rPr>
      <w:drawing>
        <wp:anchor distT="0" distB="0" distL="114300" distR="114300" simplePos="0" relativeHeight="251659263" behindDoc="0" locked="0" layoutInCell="1" allowOverlap="1" wp14:anchorId="3D2CA4D6" wp14:editId="286B6591">
          <wp:simplePos x="0" y="0"/>
          <wp:positionH relativeFrom="page">
            <wp:align>right</wp:align>
          </wp:positionH>
          <wp:positionV relativeFrom="paragraph">
            <wp:posOffset>-590355</wp:posOffset>
          </wp:positionV>
          <wp:extent cx="7550150" cy="1497965"/>
          <wp:effectExtent l="0" t="0" r="0" b="6985"/>
          <wp:wrapSquare wrapText="bothSides"/>
          <wp:docPr id="125" name="Picture 125" descr="SACE Boar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 Logo_Indentity2_Letterhead_Hea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7912" cy="1499749"/>
                  </a:xfrm>
                  <a:prstGeom prst="rect">
                    <a:avLst/>
                  </a:prstGeom>
                </pic:spPr>
              </pic:pic>
            </a:graphicData>
          </a:graphic>
          <wp14:sizeRelH relativeFrom="page">
            <wp14:pctWidth>0</wp14:pctWidth>
          </wp14:sizeRelH>
          <wp14:sizeRelV relativeFrom="page">
            <wp14:pctHeight>0</wp14:pctHeight>
          </wp14:sizeRelV>
        </wp:anchor>
      </w:drawing>
    </w:r>
    <w:r w:rsidR="00011C19">
      <w:rPr>
        <w:noProof/>
      </w:rPr>
      <mc:AlternateContent>
        <mc:Choice Requires="wps">
          <w:drawing>
            <wp:anchor distT="0" distB="0" distL="114300" distR="114300" simplePos="0" relativeHeight="251660288" behindDoc="0" locked="0" layoutInCell="0" allowOverlap="1" wp14:anchorId="2E84C181" wp14:editId="24A5B808">
              <wp:simplePos x="0" y="0"/>
              <wp:positionH relativeFrom="page">
                <wp:posOffset>0</wp:posOffset>
              </wp:positionH>
              <wp:positionV relativeFrom="page">
                <wp:posOffset>190500</wp:posOffset>
              </wp:positionV>
              <wp:extent cx="7560310" cy="252095"/>
              <wp:effectExtent l="0" t="0" r="0" b="14605"/>
              <wp:wrapNone/>
              <wp:docPr id="6" name="MSIPCMca96497ca256a263cf89e577" descr="{&quot;HashCode&quot;:1178062039,&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51D01C9" w14:textId="58E7B3B0" w:rsidR="00011C19" w:rsidRPr="00011C19" w:rsidRDefault="00011C19" w:rsidP="00011C19">
                          <w:pPr>
                            <w:spacing w:after="0"/>
                            <w:jc w:val="center"/>
                            <w:rPr>
                              <w:rFonts w:ascii="Arial" w:hAnsi="Arial" w:cs="Arial"/>
                              <w:color w:val="A80000"/>
                              <w:sz w:val="24"/>
                            </w:rPr>
                          </w:pPr>
                          <w:r w:rsidRPr="00011C19">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2E84C181" id="_x0000_t202" coordsize="21600,21600" o:spt="202" path="m,l,21600r21600,l21600,xe">
              <v:stroke joinstyle="miter"/>
              <v:path gradientshapeok="t" o:connecttype="rect"/>
            </v:shapetype>
            <v:shape id="MSIPCMca96497ca256a263cf89e577" o:spid="_x0000_s1027" type="#_x0000_t202" alt="{&quot;HashCode&quot;:1178062039,&quot;Height&quot;:841.0,&quot;Width&quot;:595.0,&quot;Placement&quot;:&quot;Header&quot;,&quot;Index&quot;:&quot;FirstPage&quot;,&quot;Section&quot;:1,&quot;Top&quot;:0.0,&quot;Left&quot;:0.0}" style="position:absolute;margin-left:0;margin-top:15pt;width:595.3pt;height:19.85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" o:allowincell="f" filled="f" stroked="f" strokeweight=".5pt">
              <v:textbox inset=",0,,0">
                <w:txbxContent>
                  <w:p w14:paraId="451D01C9" w14:textId="58E7B3B0" w:rsidR="00011C19" w:rsidRPr="00011C19" w:rsidRDefault="00011C19" w:rsidP="00011C19">
                    <w:pPr>
                      <w:spacing w:after="0"/>
                      <w:jc w:val="center"/>
                      <w:rPr>
                        <w:rFonts w:ascii="Arial" w:hAnsi="Arial" w:cs="Arial"/>
                        <w:color w:val="A80000"/>
                        <w:sz w:val="24"/>
                      </w:rPr>
                    </w:pPr>
                    <w:r w:rsidRPr="00011C19">
                      <w:rPr>
                        <w:rFonts w:ascii="Arial" w:hAnsi="Arial" w:cs="Arial"/>
                        <w:color w:val="A80000"/>
                        <w:sz w:val="24"/>
                      </w:rPr>
                      <w:t>OFFICIAL</w:t>
                    </w:r>
                  </w:p>
                </w:txbxContent>
              </v:textbox>
              <w10:wrap anchorx="page" anchory="page"/>
            </v:shape>
          </w:pict>
        </mc:Fallback>
      </mc:AlternateContent>
    </w:r>
  </w:p>
  <w:p w14:paraId="5F56177A" w14:textId="7776161E" w:rsidR="00201242" w:rsidRDefault="0020124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72669"/>
    <w:multiLevelType w:val="hybridMultilevel"/>
    <w:tmpl w:val="A32EC248"/>
    <w:lvl w:ilvl="0" w:tplc="4768D5F2">
      <w:numFmt w:val="bullet"/>
      <w:lvlText w:val="•"/>
      <w:lvlJc w:val="left"/>
      <w:pPr>
        <w:ind w:left="720" w:hanging="360"/>
      </w:pPr>
      <w:rPr>
        <w:rFonts w:ascii="Roboto Light" w:eastAsiaTheme="minorHAnsi" w:hAnsi="Roboto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07E6C06"/>
    <w:multiLevelType w:val="hybridMultilevel"/>
    <w:tmpl w:val="8D6275E2"/>
    <w:lvl w:ilvl="0" w:tplc="EDCC2D04">
      <w:start w:val="1"/>
      <w:numFmt w:val="bullet"/>
      <w:lvlText w:val="•"/>
      <w:lvlJc w:val="left"/>
      <w:pPr>
        <w:ind w:left="473" w:hanging="360"/>
      </w:pPr>
      <w:rPr>
        <w:rFonts w:ascii="Roboto Light" w:hAnsi="Roboto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B153257"/>
    <w:multiLevelType w:val="hybridMultilevel"/>
    <w:tmpl w:val="03DE9F20"/>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 w15:restartNumberingAfterBreak="0">
    <w:nsid w:val="1D0B757D"/>
    <w:multiLevelType w:val="hybridMultilevel"/>
    <w:tmpl w:val="C4D80A1A"/>
    <w:lvl w:ilvl="0" w:tplc="DC369FBE">
      <w:start w:val="1"/>
      <w:numFmt w:val="bullet"/>
      <w:pStyle w:val="SAAbullets"/>
      <w:lvlText w:val=""/>
      <w:lvlJc w:val="left"/>
      <w:pPr>
        <w:ind w:left="720" w:hanging="360"/>
      </w:pPr>
      <w:rPr>
        <w:rFonts w:ascii="Symbol" w:hAnsi="Symbol" w:hint="default"/>
        <w:position w:val="3"/>
        <w:sz w:val="1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2AC49C6"/>
    <w:multiLevelType w:val="hybridMultilevel"/>
    <w:tmpl w:val="D7B244D0"/>
    <w:lvl w:ilvl="0" w:tplc="4768D5F2">
      <w:numFmt w:val="bullet"/>
      <w:lvlText w:val="•"/>
      <w:lvlJc w:val="left"/>
      <w:pPr>
        <w:ind w:left="720" w:hanging="360"/>
      </w:pPr>
      <w:rPr>
        <w:rFonts w:ascii="Roboto Light" w:eastAsiaTheme="minorHAnsi" w:hAnsi="Roboto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013174F"/>
    <w:multiLevelType w:val="hybridMultilevel"/>
    <w:tmpl w:val="0E58B8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4304D9E"/>
    <w:multiLevelType w:val="hybridMultilevel"/>
    <w:tmpl w:val="78C81CAC"/>
    <w:lvl w:ilvl="0" w:tplc="AE404368">
      <w:numFmt w:val="bullet"/>
      <w:lvlText w:val="-"/>
      <w:lvlJc w:val="left"/>
      <w:pPr>
        <w:ind w:left="360" w:hanging="360"/>
      </w:pPr>
      <w:rPr>
        <w:rFonts w:ascii="Roboto" w:eastAsia="Times New Roman" w:hAnsi="Roboto"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34AA1BE9"/>
    <w:multiLevelType w:val="hybridMultilevel"/>
    <w:tmpl w:val="6390E98A"/>
    <w:lvl w:ilvl="0" w:tplc="2FD0C2E6">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361330CC"/>
    <w:multiLevelType w:val="hybridMultilevel"/>
    <w:tmpl w:val="65421308"/>
    <w:lvl w:ilvl="0" w:tplc="4768D5F2">
      <w:numFmt w:val="bullet"/>
      <w:lvlText w:val="•"/>
      <w:lvlJc w:val="left"/>
      <w:pPr>
        <w:ind w:left="720" w:hanging="360"/>
      </w:pPr>
      <w:rPr>
        <w:rFonts w:ascii="Roboto Light" w:eastAsiaTheme="minorHAnsi" w:hAnsi="Roboto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85F51A1"/>
    <w:multiLevelType w:val="multilevel"/>
    <w:tmpl w:val="3BB28A5A"/>
    <w:styleLink w:val="BulletList"/>
    <w:lvl w:ilvl="0">
      <w:start w:val="1"/>
      <w:numFmt w:val="bullet"/>
      <w:pStyle w:val="ListBullet"/>
      <w:lvlText w:val=""/>
      <w:lvlJc w:val="left"/>
      <w:pPr>
        <w:ind w:left="357" w:hanging="357"/>
      </w:pPr>
      <w:rPr>
        <w:rFonts w:ascii="Symbol" w:hAnsi="Symbol" w:hint="default"/>
        <w:color w:val="000000" w:themeColor="text1"/>
      </w:rPr>
    </w:lvl>
    <w:lvl w:ilvl="1">
      <w:start w:val="1"/>
      <w:numFmt w:val="bullet"/>
      <w:pStyle w:val="ListBullet2"/>
      <w:lvlText w:val=""/>
      <w:lvlJc w:val="left"/>
      <w:pPr>
        <w:ind w:left="720" w:hanging="363"/>
      </w:pPr>
      <w:rPr>
        <w:rFonts w:ascii="Symbol" w:hAnsi="Symbol" w:hint="default"/>
        <w:color w:val="000000" w:themeColor="text1"/>
      </w:rPr>
    </w:lvl>
    <w:lvl w:ilvl="2">
      <w:start w:val="1"/>
      <w:numFmt w:val="bullet"/>
      <w:pStyle w:val="ListBullet3"/>
      <w:lvlText w:val=""/>
      <w:lvlJc w:val="left"/>
      <w:pPr>
        <w:ind w:left="1077" w:hanging="357"/>
      </w:pPr>
      <w:rPr>
        <w:rFonts w:ascii="Symbol" w:hAnsi="Symbol" w:hint="default"/>
        <w:color w:val="000000" w:themeColor="text1"/>
      </w:rPr>
    </w:lvl>
    <w:lvl w:ilvl="3">
      <w:start w:val="1"/>
      <w:numFmt w:val="none"/>
      <w:suff w:val="nothing"/>
      <w:lvlText w:val=""/>
      <w:lvlJc w:val="left"/>
      <w:pPr>
        <w:ind w:left="714" w:firstLine="0"/>
      </w:pPr>
      <w:rPr>
        <w:color w:val="FF0000"/>
      </w:rPr>
    </w:lvl>
    <w:lvl w:ilvl="4">
      <w:start w:val="1"/>
      <w:numFmt w:val="none"/>
      <w:suff w:val="nothing"/>
      <w:lvlText w:val=""/>
      <w:lvlJc w:val="left"/>
      <w:pPr>
        <w:ind w:left="714" w:firstLine="0"/>
      </w:pPr>
      <w:rPr>
        <w:b/>
        <w:i w:val="0"/>
      </w:rPr>
    </w:lvl>
    <w:lvl w:ilvl="5">
      <w:start w:val="1"/>
      <w:numFmt w:val="none"/>
      <w:lvlText w:val=""/>
      <w:lvlJc w:val="left"/>
      <w:pPr>
        <w:ind w:left="714" w:firstLine="0"/>
      </w:pPr>
    </w:lvl>
    <w:lvl w:ilvl="6">
      <w:start w:val="1"/>
      <w:numFmt w:val="none"/>
      <w:lvlText w:val=""/>
      <w:lvlJc w:val="left"/>
      <w:pPr>
        <w:ind w:left="714" w:firstLine="0"/>
      </w:pPr>
    </w:lvl>
    <w:lvl w:ilvl="7">
      <w:start w:val="1"/>
      <w:numFmt w:val="none"/>
      <w:lvlText w:val=""/>
      <w:lvlJc w:val="left"/>
      <w:pPr>
        <w:ind w:left="714" w:firstLine="0"/>
      </w:pPr>
    </w:lvl>
    <w:lvl w:ilvl="8">
      <w:start w:val="1"/>
      <w:numFmt w:val="none"/>
      <w:lvlText w:val=""/>
      <w:lvlJc w:val="left"/>
      <w:pPr>
        <w:ind w:left="714" w:firstLine="0"/>
      </w:pPr>
    </w:lvl>
  </w:abstractNum>
  <w:abstractNum w:abstractNumId="10" w15:restartNumberingAfterBreak="0">
    <w:nsid w:val="39C86ED7"/>
    <w:multiLevelType w:val="hybridMultilevel"/>
    <w:tmpl w:val="13B089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77F1288"/>
    <w:multiLevelType w:val="hybridMultilevel"/>
    <w:tmpl w:val="2F5083CE"/>
    <w:lvl w:ilvl="0" w:tplc="4768D5F2">
      <w:numFmt w:val="bullet"/>
      <w:lvlText w:val="•"/>
      <w:lvlJc w:val="left"/>
      <w:pPr>
        <w:ind w:left="720" w:hanging="360"/>
      </w:pPr>
      <w:rPr>
        <w:rFonts w:ascii="Roboto Light" w:eastAsiaTheme="minorHAnsi" w:hAnsi="Roboto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A0445F4"/>
    <w:multiLevelType w:val="multilevel"/>
    <w:tmpl w:val="F594D0D8"/>
    <w:lvl w:ilvl="0">
      <w:start w:val="1"/>
      <w:numFmt w:val="none"/>
      <w:suff w:val="nothing"/>
      <w:lvlText w:val="%1"/>
      <w:lvlJc w:val="left"/>
      <w:pPr>
        <w:ind w:left="0" w:firstLine="0"/>
      </w:pPr>
    </w:lvl>
    <w:lvl w:ilvl="1">
      <w:start w:val="1"/>
      <w:numFmt w:val="decimal"/>
      <w:lvlText w:val="%2."/>
      <w:lvlJc w:val="left"/>
      <w:pPr>
        <w:tabs>
          <w:tab w:val="num" w:pos="357"/>
        </w:tabs>
        <w:ind w:left="357" w:hanging="357"/>
      </w:pPr>
    </w:lvl>
    <w:lvl w:ilvl="2">
      <w:start w:val="1"/>
      <w:numFmt w:val="lowerLetter"/>
      <w:lvlText w:val="%3."/>
      <w:lvlJc w:val="left"/>
      <w:pPr>
        <w:tabs>
          <w:tab w:val="num" w:pos="720"/>
        </w:tabs>
        <w:ind w:left="720" w:hanging="363"/>
      </w:pPr>
    </w:lvl>
    <w:lvl w:ilvl="3">
      <w:start w:val="1"/>
      <w:numFmt w:val="lowerRoman"/>
      <w:lvlText w:val="%4."/>
      <w:lvlJc w:val="left"/>
      <w:pPr>
        <w:tabs>
          <w:tab w:val="num" w:pos="1077"/>
        </w:tabs>
        <w:ind w:left="1077" w:hanging="357"/>
      </w:pPr>
    </w:lvl>
    <w:lvl w:ilvl="4">
      <w:start w:val="1"/>
      <w:numFmt w:val="upperLetter"/>
      <w:lvlText w:val="%5."/>
      <w:lvlJc w:val="left"/>
      <w:pPr>
        <w:tabs>
          <w:tab w:val="num" w:pos="1435"/>
        </w:tabs>
        <w:ind w:left="1435" w:hanging="358"/>
      </w:pPr>
    </w:lvl>
    <w:lvl w:ilvl="5">
      <w:start w:val="1"/>
      <w:numFmt w:val="none"/>
      <w:suff w:val="nothing"/>
      <w:lvlText w:val="%6"/>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9"/>
      <w:lvlJc w:val="left"/>
      <w:pPr>
        <w:ind w:left="0" w:firstLine="0"/>
      </w:pPr>
    </w:lvl>
  </w:abstractNum>
  <w:abstractNum w:abstractNumId="13" w15:restartNumberingAfterBreak="0">
    <w:nsid w:val="59EB6042"/>
    <w:multiLevelType w:val="hybridMultilevel"/>
    <w:tmpl w:val="CB1464E4"/>
    <w:lvl w:ilvl="0" w:tplc="2B70DAE4">
      <w:numFmt w:val="bullet"/>
      <w:pStyle w:val="SAABullets0"/>
      <w:lvlText w:val="•"/>
      <w:lvlJc w:val="left"/>
      <w:pPr>
        <w:ind w:left="1080" w:hanging="720"/>
      </w:pPr>
      <w:rPr>
        <w:rFonts w:ascii="Roboto Light" w:eastAsiaTheme="minorHAnsi" w:hAnsi="Roboto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2A40618"/>
    <w:multiLevelType w:val="hybridMultilevel"/>
    <w:tmpl w:val="FBA0C924"/>
    <w:lvl w:ilvl="0" w:tplc="F33E1D94">
      <w:numFmt w:val="bullet"/>
      <w:lvlText w:val="-"/>
      <w:lvlJc w:val="left"/>
      <w:pPr>
        <w:ind w:left="720" w:hanging="360"/>
      </w:pPr>
      <w:rPr>
        <w:rFonts w:ascii="Calibri Light" w:eastAsia="Times New Roman"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81E1390"/>
    <w:multiLevelType w:val="hybridMultilevel"/>
    <w:tmpl w:val="0AC8DFA2"/>
    <w:lvl w:ilvl="0" w:tplc="DF729EA6">
      <w:start w:val="1"/>
      <w:numFmt w:val="lowerLetter"/>
      <w:pStyle w:val="SAAaBodytext"/>
      <w:lvlText w:val="(%1)"/>
      <w:lvlJc w:val="left"/>
      <w:pPr>
        <w:ind w:left="360" w:hanging="360"/>
      </w:pPr>
      <w:rPr>
        <w:rFonts w:ascii="Roboto Light" w:hAnsi="Roboto Light" w:hint="default"/>
        <w:b w:val="0"/>
        <w:i w:val="0"/>
        <w:caps w:val="0"/>
        <w:strike w:val="0"/>
        <w:dstrike w:val="0"/>
        <w:vanish w:val="0"/>
        <w:sz w:val="20"/>
        <w:vertAlign w:val="baseline"/>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70496140"/>
    <w:multiLevelType w:val="hybridMultilevel"/>
    <w:tmpl w:val="227A12C8"/>
    <w:lvl w:ilvl="0" w:tplc="4768D5F2">
      <w:numFmt w:val="bullet"/>
      <w:lvlText w:val="•"/>
      <w:lvlJc w:val="left"/>
      <w:pPr>
        <w:ind w:left="720" w:hanging="360"/>
      </w:pPr>
      <w:rPr>
        <w:rFonts w:ascii="Roboto Light" w:eastAsiaTheme="minorHAnsi" w:hAnsi="Roboto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2F917DC"/>
    <w:multiLevelType w:val="hybridMultilevel"/>
    <w:tmpl w:val="ED6E4E80"/>
    <w:lvl w:ilvl="0" w:tplc="4768D5F2">
      <w:numFmt w:val="bullet"/>
      <w:lvlText w:val="•"/>
      <w:lvlJc w:val="left"/>
      <w:pPr>
        <w:ind w:left="720" w:hanging="360"/>
      </w:pPr>
      <w:rPr>
        <w:rFonts w:ascii="Roboto Light" w:eastAsiaTheme="minorHAnsi" w:hAnsi="Roboto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33E67C6"/>
    <w:multiLevelType w:val="hybridMultilevel"/>
    <w:tmpl w:val="C32862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5341346"/>
    <w:multiLevelType w:val="hybridMultilevel"/>
    <w:tmpl w:val="4AD8B6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93E0DBE"/>
    <w:multiLevelType w:val="hybridMultilevel"/>
    <w:tmpl w:val="C7A6E9B6"/>
    <w:lvl w:ilvl="0" w:tplc="EDCC2D04">
      <w:start w:val="1"/>
      <w:numFmt w:val="bullet"/>
      <w:lvlText w:val="•"/>
      <w:lvlJc w:val="left"/>
      <w:pPr>
        <w:ind w:left="720" w:hanging="360"/>
      </w:pPr>
      <w:rPr>
        <w:rFonts w:ascii="Roboto Light" w:hAnsi="Roboto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AF25BA2"/>
    <w:multiLevelType w:val="hybridMultilevel"/>
    <w:tmpl w:val="1ADCE1B0"/>
    <w:lvl w:ilvl="0" w:tplc="EDCC2D04">
      <w:start w:val="1"/>
      <w:numFmt w:val="bullet"/>
      <w:lvlText w:val="•"/>
      <w:lvlJc w:val="left"/>
      <w:pPr>
        <w:ind w:left="720" w:hanging="360"/>
      </w:pPr>
      <w:rPr>
        <w:rFonts w:ascii="Roboto Light" w:hAnsi="Roboto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1"/>
  </w:num>
  <w:num w:numId="4">
    <w:abstractNumId w:val="19"/>
  </w:num>
  <w:num w:numId="5">
    <w:abstractNumId w:val="13"/>
  </w:num>
  <w:num w:numId="6">
    <w:abstractNumId w:val="6"/>
  </w:num>
  <w:num w:numId="7">
    <w:abstractNumId w:val="2"/>
  </w:num>
  <w:num w:numId="8">
    <w:abstractNumId w:val="10"/>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num>
  <w:num w:numId="13">
    <w:abstractNumId w:val="13"/>
  </w:num>
  <w:num w:numId="14">
    <w:abstractNumId w:val="15"/>
  </w:num>
  <w:num w:numId="15">
    <w:abstractNumId w:val="13"/>
  </w:num>
  <w:num w:numId="16">
    <w:abstractNumId w:val="18"/>
  </w:num>
  <w:num w:numId="17">
    <w:abstractNumId w:val="4"/>
  </w:num>
  <w:num w:numId="18">
    <w:abstractNumId w:val="14"/>
  </w:num>
  <w:num w:numId="19">
    <w:abstractNumId w:val="11"/>
  </w:num>
  <w:num w:numId="20">
    <w:abstractNumId w:val="0"/>
  </w:num>
  <w:num w:numId="21">
    <w:abstractNumId w:val="8"/>
  </w:num>
  <w:num w:numId="22">
    <w:abstractNumId w:val="16"/>
  </w:num>
  <w:num w:numId="23">
    <w:abstractNumId w:val="17"/>
  </w:num>
  <w:num w:numId="24">
    <w:abstractNumId w:val="21"/>
  </w:num>
  <w:num w:numId="25">
    <w:abstractNumId w:val="20"/>
  </w:num>
  <w:num w:numId="26">
    <w:abstractNumId w:val="5"/>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1B77"/>
    <w:rsid w:val="000066B0"/>
    <w:rsid w:val="000068E6"/>
    <w:rsid w:val="00011C19"/>
    <w:rsid w:val="00016C15"/>
    <w:rsid w:val="00030064"/>
    <w:rsid w:val="00033468"/>
    <w:rsid w:val="000353F0"/>
    <w:rsid w:val="00037BF8"/>
    <w:rsid w:val="00041E69"/>
    <w:rsid w:val="00044A16"/>
    <w:rsid w:val="000518C7"/>
    <w:rsid w:val="00071DBD"/>
    <w:rsid w:val="000B3513"/>
    <w:rsid w:val="000C1C22"/>
    <w:rsid w:val="000C51FF"/>
    <w:rsid w:val="000D3FF7"/>
    <w:rsid w:val="000E10C3"/>
    <w:rsid w:val="000E2D52"/>
    <w:rsid w:val="000E6250"/>
    <w:rsid w:val="000E7758"/>
    <w:rsid w:val="000F6672"/>
    <w:rsid w:val="00113E01"/>
    <w:rsid w:val="00130210"/>
    <w:rsid w:val="00131B77"/>
    <w:rsid w:val="001337B9"/>
    <w:rsid w:val="001347AD"/>
    <w:rsid w:val="00136D34"/>
    <w:rsid w:val="0014116F"/>
    <w:rsid w:val="0015786D"/>
    <w:rsid w:val="00180FAB"/>
    <w:rsid w:val="00181421"/>
    <w:rsid w:val="0019775E"/>
    <w:rsid w:val="001A309C"/>
    <w:rsid w:val="001A3965"/>
    <w:rsid w:val="001B40F1"/>
    <w:rsid w:val="001B4510"/>
    <w:rsid w:val="001C0D4E"/>
    <w:rsid w:val="001D4E0B"/>
    <w:rsid w:val="001D6365"/>
    <w:rsid w:val="001E17D0"/>
    <w:rsid w:val="001E52F9"/>
    <w:rsid w:val="001F5F8D"/>
    <w:rsid w:val="00200769"/>
    <w:rsid w:val="00201242"/>
    <w:rsid w:val="00202F66"/>
    <w:rsid w:val="00204304"/>
    <w:rsid w:val="00225867"/>
    <w:rsid w:val="0023462B"/>
    <w:rsid w:val="0024289C"/>
    <w:rsid w:val="00250217"/>
    <w:rsid w:val="00253FB8"/>
    <w:rsid w:val="0025750A"/>
    <w:rsid w:val="002612DF"/>
    <w:rsid w:val="00276ED3"/>
    <w:rsid w:val="00280BFB"/>
    <w:rsid w:val="00294CD9"/>
    <w:rsid w:val="002A6A8F"/>
    <w:rsid w:val="002C44C9"/>
    <w:rsid w:val="002C6B94"/>
    <w:rsid w:val="002D68E2"/>
    <w:rsid w:val="002E27C2"/>
    <w:rsid w:val="002F3586"/>
    <w:rsid w:val="00307DA2"/>
    <w:rsid w:val="003140DC"/>
    <w:rsid w:val="00325C17"/>
    <w:rsid w:val="00326BF4"/>
    <w:rsid w:val="003314F5"/>
    <w:rsid w:val="00333ACA"/>
    <w:rsid w:val="00334059"/>
    <w:rsid w:val="00341E81"/>
    <w:rsid w:val="00343A79"/>
    <w:rsid w:val="003457C6"/>
    <w:rsid w:val="00352A0A"/>
    <w:rsid w:val="003623EE"/>
    <w:rsid w:val="0036645F"/>
    <w:rsid w:val="00376416"/>
    <w:rsid w:val="00376EE4"/>
    <w:rsid w:val="00376F61"/>
    <w:rsid w:val="003878AC"/>
    <w:rsid w:val="003979A0"/>
    <w:rsid w:val="003A332B"/>
    <w:rsid w:val="003B3555"/>
    <w:rsid w:val="003B3912"/>
    <w:rsid w:val="003B6F67"/>
    <w:rsid w:val="003D4353"/>
    <w:rsid w:val="003E27CD"/>
    <w:rsid w:val="003E3986"/>
    <w:rsid w:val="003E3AC1"/>
    <w:rsid w:val="003E3FD4"/>
    <w:rsid w:val="003E62CA"/>
    <w:rsid w:val="003F1B83"/>
    <w:rsid w:val="00402A66"/>
    <w:rsid w:val="004062BC"/>
    <w:rsid w:val="00406B3D"/>
    <w:rsid w:val="00410A62"/>
    <w:rsid w:val="00441700"/>
    <w:rsid w:val="0044367F"/>
    <w:rsid w:val="0045005D"/>
    <w:rsid w:val="004556FA"/>
    <w:rsid w:val="00472C22"/>
    <w:rsid w:val="00484047"/>
    <w:rsid w:val="00492051"/>
    <w:rsid w:val="004945FB"/>
    <w:rsid w:val="00497E6A"/>
    <w:rsid w:val="004B0FB0"/>
    <w:rsid w:val="004C14FC"/>
    <w:rsid w:val="004E2194"/>
    <w:rsid w:val="004F5C7C"/>
    <w:rsid w:val="004F741F"/>
    <w:rsid w:val="00503D5E"/>
    <w:rsid w:val="00523BFD"/>
    <w:rsid w:val="00530CC7"/>
    <w:rsid w:val="00543990"/>
    <w:rsid w:val="00560E29"/>
    <w:rsid w:val="00594271"/>
    <w:rsid w:val="0059696B"/>
    <w:rsid w:val="005A3A01"/>
    <w:rsid w:val="005A41F3"/>
    <w:rsid w:val="005A5EB6"/>
    <w:rsid w:val="005B451D"/>
    <w:rsid w:val="005C57CE"/>
    <w:rsid w:val="005D3318"/>
    <w:rsid w:val="005E44D2"/>
    <w:rsid w:val="006004E9"/>
    <w:rsid w:val="00610746"/>
    <w:rsid w:val="00611E40"/>
    <w:rsid w:val="00634151"/>
    <w:rsid w:val="006470EE"/>
    <w:rsid w:val="00660515"/>
    <w:rsid w:val="0068077E"/>
    <w:rsid w:val="006864F1"/>
    <w:rsid w:val="00687795"/>
    <w:rsid w:val="00687CA7"/>
    <w:rsid w:val="00690A42"/>
    <w:rsid w:val="00690FC7"/>
    <w:rsid w:val="00697851"/>
    <w:rsid w:val="006B765B"/>
    <w:rsid w:val="006D10CE"/>
    <w:rsid w:val="006D228A"/>
    <w:rsid w:val="006D783B"/>
    <w:rsid w:val="006E5471"/>
    <w:rsid w:val="006F1844"/>
    <w:rsid w:val="007320D7"/>
    <w:rsid w:val="00746A95"/>
    <w:rsid w:val="007510E0"/>
    <w:rsid w:val="0075307B"/>
    <w:rsid w:val="00781FA0"/>
    <w:rsid w:val="007949BC"/>
    <w:rsid w:val="00797488"/>
    <w:rsid w:val="007B24D3"/>
    <w:rsid w:val="007B2E4E"/>
    <w:rsid w:val="007B3454"/>
    <w:rsid w:val="007F62E0"/>
    <w:rsid w:val="007F74EB"/>
    <w:rsid w:val="00802862"/>
    <w:rsid w:val="00802F0B"/>
    <w:rsid w:val="008039B9"/>
    <w:rsid w:val="0080584E"/>
    <w:rsid w:val="008060F9"/>
    <w:rsid w:val="0081602B"/>
    <w:rsid w:val="00816102"/>
    <w:rsid w:val="00825D9E"/>
    <w:rsid w:val="00853514"/>
    <w:rsid w:val="008679E6"/>
    <w:rsid w:val="00870F52"/>
    <w:rsid w:val="008737A7"/>
    <w:rsid w:val="00881EAA"/>
    <w:rsid w:val="00882E15"/>
    <w:rsid w:val="00886ABA"/>
    <w:rsid w:val="0089113F"/>
    <w:rsid w:val="008A13DD"/>
    <w:rsid w:val="008B286F"/>
    <w:rsid w:val="008B4709"/>
    <w:rsid w:val="008C06E9"/>
    <w:rsid w:val="008C0BDF"/>
    <w:rsid w:val="008D2E22"/>
    <w:rsid w:val="008E1286"/>
    <w:rsid w:val="008E30BE"/>
    <w:rsid w:val="008E395B"/>
    <w:rsid w:val="008F2248"/>
    <w:rsid w:val="008F2998"/>
    <w:rsid w:val="008F3F77"/>
    <w:rsid w:val="009003CB"/>
    <w:rsid w:val="009365BC"/>
    <w:rsid w:val="00945338"/>
    <w:rsid w:val="00950B89"/>
    <w:rsid w:val="009564D6"/>
    <w:rsid w:val="00963D23"/>
    <w:rsid w:val="0096749B"/>
    <w:rsid w:val="00974323"/>
    <w:rsid w:val="00987A0D"/>
    <w:rsid w:val="009972C7"/>
    <w:rsid w:val="009A036E"/>
    <w:rsid w:val="009B0A8C"/>
    <w:rsid w:val="009B1766"/>
    <w:rsid w:val="009C265A"/>
    <w:rsid w:val="009D20BE"/>
    <w:rsid w:val="009D2DD2"/>
    <w:rsid w:val="009D7CA8"/>
    <w:rsid w:val="009E36A7"/>
    <w:rsid w:val="009E4C82"/>
    <w:rsid w:val="009F09D7"/>
    <w:rsid w:val="009F4254"/>
    <w:rsid w:val="009F6258"/>
    <w:rsid w:val="00A16554"/>
    <w:rsid w:val="00A21F30"/>
    <w:rsid w:val="00A2622E"/>
    <w:rsid w:val="00A426B6"/>
    <w:rsid w:val="00A45343"/>
    <w:rsid w:val="00A51340"/>
    <w:rsid w:val="00A61260"/>
    <w:rsid w:val="00A77034"/>
    <w:rsid w:val="00A77C96"/>
    <w:rsid w:val="00A911C1"/>
    <w:rsid w:val="00A924F5"/>
    <w:rsid w:val="00AB04E5"/>
    <w:rsid w:val="00AB426E"/>
    <w:rsid w:val="00AD454A"/>
    <w:rsid w:val="00AD51E8"/>
    <w:rsid w:val="00AD6044"/>
    <w:rsid w:val="00AE624A"/>
    <w:rsid w:val="00AE6958"/>
    <w:rsid w:val="00AE78F8"/>
    <w:rsid w:val="00AF5627"/>
    <w:rsid w:val="00B00B0F"/>
    <w:rsid w:val="00B021A3"/>
    <w:rsid w:val="00B04560"/>
    <w:rsid w:val="00B12447"/>
    <w:rsid w:val="00B172A9"/>
    <w:rsid w:val="00B17541"/>
    <w:rsid w:val="00B40C61"/>
    <w:rsid w:val="00B5134D"/>
    <w:rsid w:val="00B51EBE"/>
    <w:rsid w:val="00B5781B"/>
    <w:rsid w:val="00B632EE"/>
    <w:rsid w:val="00B7300B"/>
    <w:rsid w:val="00B76D0C"/>
    <w:rsid w:val="00B8249D"/>
    <w:rsid w:val="00B92DE4"/>
    <w:rsid w:val="00BA5182"/>
    <w:rsid w:val="00BD3EFB"/>
    <w:rsid w:val="00BF4F06"/>
    <w:rsid w:val="00C020E2"/>
    <w:rsid w:val="00C03BB9"/>
    <w:rsid w:val="00C1719A"/>
    <w:rsid w:val="00C20210"/>
    <w:rsid w:val="00C57801"/>
    <w:rsid w:val="00C61579"/>
    <w:rsid w:val="00C718C0"/>
    <w:rsid w:val="00C725E4"/>
    <w:rsid w:val="00C84CFA"/>
    <w:rsid w:val="00CA1813"/>
    <w:rsid w:val="00CA2988"/>
    <w:rsid w:val="00CA5123"/>
    <w:rsid w:val="00CB1FCD"/>
    <w:rsid w:val="00CB51F8"/>
    <w:rsid w:val="00CC5E66"/>
    <w:rsid w:val="00CC5FA7"/>
    <w:rsid w:val="00CC7AA8"/>
    <w:rsid w:val="00CD65CA"/>
    <w:rsid w:val="00CD7BE9"/>
    <w:rsid w:val="00CF62F9"/>
    <w:rsid w:val="00CF6F4D"/>
    <w:rsid w:val="00CF7041"/>
    <w:rsid w:val="00D13C99"/>
    <w:rsid w:val="00D15F71"/>
    <w:rsid w:val="00D16116"/>
    <w:rsid w:val="00D22C37"/>
    <w:rsid w:val="00D41AD5"/>
    <w:rsid w:val="00D5597E"/>
    <w:rsid w:val="00D61216"/>
    <w:rsid w:val="00D81002"/>
    <w:rsid w:val="00D944CD"/>
    <w:rsid w:val="00D952B4"/>
    <w:rsid w:val="00DC34A4"/>
    <w:rsid w:val="00DC4A51"/>
    <w:rsid w:val="00DD1BBA"/>
    <w:rsid w:val="00DE799D"/>
    <w:rsid w:val="00DE7F2C"/>
    <w:rsid w:val="00E02A4D"/>
    <w:rsid w:val="00E05D75"/>
    <w:rsid w:val="00E15730"/>
    <w:rsid w:val="00E35949"/>
    <w:rsid w:val="00E45637"/>
    <w:rsid w:val="00E537E6"/>
    <w:rsid w:val="00E56BAF"/>
    <w:rsid w:val="00E61048"/>
    <w:rsid w:val="00E66F21"/>
    <w:rsid w:val="00E6762D"/>
    <w:rsid w:val="00E8113F"/>
    <w:rsid w:val="00E83274"/>
    <w:rsid w:val="00E90FF1"/>
    <w:rsid w:val="00E9445A"/>
    <w:rsid w:val="00E94870"/>
    <w:rsid w:val="00EC0727"/>
    <w:rsid w:val="00ED63E9"/>
    <w:rsid w:val="00EE115A"/>
    <w:rsid w:val="00EE3B70"/>
    <w:rsid w:val="00F0395B"/>
    <w:rsid w:val="00F05D6E"/>
    <w:rsid w:val="00F0653B"/>
    <w:rsid w:val="00F33C3E"/>
    <w:rsid w:val="00F61128"/>
    <w:rsid w:val="00F63FEA"/>
    <w:rsid w:val="00F733D3"/>
    <w:rsid w:val="00F7535B"/>
    <w:rsid w:val="00FA2472"/>
    <w:rsid w:val="00FB2A9D"/>
    <w:rsid w:val="00FC0785"/>
    <w:rsid w:val="00FD3496"/>
    <w:rsid w:val="00FD3713"/>
    <w:rsid w:val="00FD594A"/>
    <w:rsid w:val="00FF57FD"/>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58EE06"/>
  <w15:docId w15:val="{95D32D91-954D-4B09-A5B5-854119C7D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Roboto Light" w:eastAsiaTheme="minorHAnsi" w:hAnsi="Roboto Light" w:cstheme="minorBidi"/>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6"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6" w:unhideWhenUsed="1" w:qFormat="1"/>
    <w:lsdException w:name="List Bullet 3" w:semiHidden="1" w:uiPriority="16"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ontent 1"/>
    <w:qFormat/>
    <w:rsid w:val="00AB426E"/>
    <w:pPr>
      <w:spacing w:after="120" w:line="240" w:lineRule="auto"/>
    </w:pPr>
  </w:style>
  <w:style w:type="paragraph" w:styleId="Heading1">
    <w:name w:val="heading 1"/>
    <w:basedOn w:val="Normal"/>
    <w:next w:val="Normal"/>
    <w:link w:val="Heading1Char"/>
    <w:qFormat/>
    <w:rsid w:val="00131B77"/>
    <w:pPr>
      <w:keepNext/>
      <w:spacing w:before="120" w:after="0" w:line="480" w:lineRule="exact"/>
      <w:outlineLvl w:val="0"/>
    </w:pPr>
    <w:rPr>
      <w:rFonts w:eastAsia="Times New Roman" w:cs="Times New Roman"/>
      <w:bCs/>
      <w:spacing w:val="-5"/>
      <w:sz w:val="32"/>
      <w:szCs w:val="56"/>
    </w:rPr>
  </w:style>
  <w:style w:type="paragraph" w:styleId="Heading2">
    <w:name w:val="heading 2"/>
    <w:aliases w:val="Heading 2 (after H1)"/>
    <w:basedOn w:val="Normal"/>
    <w:next w:val="Normal"/>
    <w:link w:val="Heading2Char"/>
    <w:uiPriority w:val="9"/>
    <w:unhideWhenUsed/>
    <w:qFormat/>
    <w:rsid w:val="00690A42"/>
    <w:pPr>
      <w:keepNext/>
      <w:keepLines/>
      <w:spacing w:before="360"/>
      <w:outlineLvl w:val="1"/>
    </w:pPr>
    <w:rPr>
      <w:rFonts w:ascii="Roboto Medium" w:eastAsiaTheme="majorEastAsia" w:hAnsi="Roboto Medium" w:cstheme="majorBidi"/>
      <w:bCs/>
      <w:sz w:val="24"/>
      <w:szCs w:val="26"/>
    </w:rPr>
  </w:style>
  <w:style w:type="paragraph" w:styleId="Heading3">
    <w:name w:val="heading 3"/>
    <w:basedOn w:val="Normal"/>
    <w:next w:val="Normal"/>
    <w:link w:val="Heading3Char"/>
    <w:uiPriority w:val="9"/>
    <w:unhideWhenUsed/>
    <w:qFormat/>
    <w:rsid w:val="005B451D"/>
    <w:pPr>
      <w:keepNext/>
      <w:keepLines/>
      <w:spacing w:before="240"/>
      <w:outlineLvl w:val="2"/>
    </w:pPr>
    <w:rPr>
      <w:rFonts w:ascii="Roboto Medium" w:eastAsiaTheme="majorEastAsia" w:hAnsi="Roboto Medium" w:cstheme="majorBidi"/>
      <w:bCs/>
      <w:color w:val="000000" w:themeColor="text1"/>
    </w:rPr>
  </w:style>
  <w:style w:type="paragraph" w:styleId="Heading4">
    <w:name w:val="heading 4"/>
    <w:basedOn w:val="Normal"/>
    <w:next w:val="Normal"/>
    <w:link w:val="Heading4Char"/>
    <w:autoRedefine/>
    <w:uiPriority w:val="9"/>
    <w:semiHidden/>
    <w:unhideWhenUsed/>
    <w:rsid w:val="001E52F9"/>
    <w:pPr>
      <w:keepNext/>
      <w:keepLines/>
      <w:spacing w:before="12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26B6"/>
    <w:pPr>
      <w:tabs>
        <w:tab w:val="center" w:pos="4513"/>
        <w:tab w:val="right" w:pos="9026"/>
      </w:tabs>
      <w:spacing w:after="0"/>
    </w:pPr>
  </w:style>
  <w:style w:type="character" w:customStyle="1" w:styleId="HeaderChar">
    <w:name w:val="Header Char"/>
    <w:basedOn w:val="DefaultParagraphFont"/>
    <w:link w:val="Header"/>
    <w:uiPriority w:val="99"/>
    <w:rsid w:val="00A426B6"/>
  </w:style>
  <w:style w:type="paragraph" w:styleId="Footer">
    <w:name w:val="footer"/>
    <w:basedOn w:val="Normal"/>
    <w:link w:val="FooterChar"/>
    <w:uiPriority w:val="99"/>
    <w:unhideWhenUsed/>
    <w:rsid w:val="00AB426E"/>
    <w:pPr>
      <w:tabs>
        <w:tab w:val="center" w:pos="4513"/>
        <w:tab w:val="right" w:pos="9026"/>
      </w:tabs>
      <w:spacing w:after="0"/>
    </w:pPr>
    <w:rPr>
      <w:sz w:val="16"/>
    </w:rPr>
  </w:style>
  <w:style w:type="character" w:customStyle="1" w:styleId="FooterChar">
    <w:name w:val="Footer Char"/>
    <w:basedOn w:val="DefaultParagraphFont"/>
    <w:link w:val="Footer"/>
    <w:uiPriority w:val="99"/>
    <w:rsid w:val="00AB426E"/>
    <w:rPr>
      <w:sz w:val="16"/>
    </w:rPr>
  </w:style>
  <w:style w:type="character" w:customStyle="1" w:styleId="Heading2Char">
    <w:name w:val="Heading 2 Char"/>
    <w:aliases w:val="Heading 2 (after H1) Char"/>
    <w:basedOn w:val="DefaultParagraphFont"/>
    <w:link w:val="Heading2"/>
    <w:uiPriority w:val="9"/>
    <w:rsid w:val="00690A42"/>
    <w:rPr>
      <w:rFonts w:ascii="Roboto Medium" w:eastAsiaTheme="majorEastAsia" w:hAnsi="Roboto Medium" w:cstheme="majorBidi"/>
      <w:bCs/>
      <w:sz w:val="24"/>
      <w:szCs w:val="26"/>
    </w:rPr>
  </w:style>
  <w:style w:type="character" w:customStyle="1" w:styleId="Heading1Char">
    <w:name w:val="Heading 1 Char"/>
    <w:basedOn w:val="DefaultParagraphFont"/>
    <w:link w:val="Heading1"/>
    <w:rsid w:val="00131B77"/>
    <w:rPr>
      <w:rFonts w:ascii="Roboto Light" w:eastAsia="Times New Roman" w:hAnsi="Roboto Light" w:cs="Times New Roman"/>
      <w:bCs/>
      <w:spacing w:val="-5"/>
      <w:sz w:val="32"/>
      <w:szCs w:val="56"/>
    </w:rPr>
  </w:style>
  <w:style w:type="character" w:styleId="Hyperlink">
    <w:name w:val="Hyperlink"/>
    <w:basedOn w:val="DefaultParagraphFont"/>
    <w:uiPriority w:val="99"/>
    <w:unhideWhenUsed/>
    <w:rsid w:val="008060F9"/>
    <w:rPr>
      <w:rFonts w:ascii="Roboto Light" w:hAnsi="Roboto Light"/>
      <w:color w:val="0000FF" w:themeColor="hyperlink"/>
      <w:sz w:val="20"/>
      <w:u w:val="single"/>
    </w:rPr>
  </w:style>
  <w:style w:type="character" w:customStyle="1" w:styleId="Heading3Char">
    <w:name w:val="Heading 3 Char"/>
    <w:basedOn w:val="DefaultParagraphFont"/>
    <w:link w:val="Heading3"/>
    <w:uiPriority w:val="9"/>
    <w:rsid w:val="005B451D"/>
    <w:rPr>
      <w:rFonts w:ascii="Roboto Medium" w:eastAsiaTheme="majorEastAsia" w:hAnsi="Roboto Medium" w:cstheme="majorBidi"/>
      <w:bCs/>
      <w:color w:val="000000" w:themeColor="text1"/>
    </w:rPr>
  </w:style>
  <w:style w:type="paragraph" w:customStyle="1" w:styleId="SAV-Information">
    <w:name w:val="SAV-Information"/>
    <w:basedOn w:val="Normal"/>
    <w:rsid w:val="00503D5E"/>
    <w:pPr>
      <w:spacing w:before="240" w:after="240"/>
    </w:pPr>
    <w:rPr>
      <w:rFonts w:eastAsia="Times New Roman" w:cs="Times New Roman"/>
      <w:color w:val="548DD4" w:themeColor="text2" w:themeTint="99"/>
    </w:rPr>
  </w:style>
  <w:style w:type="character" w:customStyle="1" w:styleId="Heading4Char">
    <w:name w:val="Heading 4 Char"/>
    <w:basedOn w:val="DefaultParagraphFont"/>
    <w:link w:val="Heading4"/>
    <w:uiPriority w:val="9"/>
    <w:semiHidden/>
    <w:rsid w:val="001E52F9"/>
    <w:rPr>
      <w:rFonts w:eastAsiaTheme="majorEastAsia" w:cstheme="majorBidi"/>
      <w:i/>
      <w:iCs/>
    </w:rPr>
  </w:style>
  <w:style w:type="paragraph" w:styleId="ListBullet">
    <w:name w:val="List Bullet"/>
    <w:basedOn w:val="Normal"/>
    <w:uiPriority w:val="16"/>
    <w:semiHidden/>
    <w:unhideWhenUsed/>
    <w:qFormat/>
    <w:rsid w:val="00A45343"/>
    <w:pPr>
      <w:numPr>
        <w:numId w:val="10"/>
      </w:numPr>
      <w:spacing w:before="120"/>
    </w:pPr>
    <w:rPr>
      <w:color w:val="000000" w:themeColor="text1"/>
    </w:rPr>
  </w:style>
  <w:style w:type="paragraph" w:styleId="ListBullet2">
    <w:name w:val="List Bullet 2"/>
    <w:basedOn w:val="Normal"/>
    <w:uiPriority w:val="16"/>
    <w:semiHidden/>
    <w:unhideWhenUsed/>
    <w:qFormat/>
    <w:rsid w:val="00A45343"/>
    <w:pPr>
      <w:numPr>
        <w:ilvl w:val="1"/>
        <w:numId w:val="10"/>
      </w:numPr>
      <w:spacing w:before="120"/>
    </w:pPr>
    <w:rPr>
      <w:color w:val="000000" w:themeColor="text1"/>
    </w:rPr>
  </w:style>
  <w:style w:type="paragraph" w:styleId="ListBullet3">
    <w:name w:val="List Bullet 3"/>
    <w:basedOn w:val="Normal"/>
    <w:uiPriority w:val="16"/>
    <w:semiHidden/>
    <w:unhideWhenUsed/>
    <w:qFormat/>
    <w:rsid w:val="00A45343"/>
    <w:pPr>
      <w:numPr>
        <w:ilvl w:val="2"/>
        <w:numId w:val="10"/>
      </w:numPr>
      <w:spacing w:before="120"/>
    </w:pPr>
    <w:rPr>
      <w:color w:val="000000" w:themeColor="text1"/>
    </w:rPr>
  </w:style>
  <w:style w:type="numbering" w:customStyle="1" w:styleId="BulletList">
    <w:name w:val="Bullet List"/>
    <w:uiPriority w:val="99"/>
    <w:rsid w:val="00A45343"/>
    <w:pPr>
      <w:numPr>
        <w:numId w:val="10"/>
      </w:numPr>
    </w:pPr>
  </w:style>
  <w:style w:type="paragraph" w:styleId="BalloonText">
    <w:name w:val="Balloon Text"/>
    <w:basedOn w:val="Normal"/>
    <w:link w:val="BalloonTextChar"/>
    <w:semiHidden/>
    <w:unhideWhenUsed/>
    <w:rsid w:val="001B4510"/>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1B4510"/>
    <w:rPr>
      <w:rFonts w:ascii="Segoe UI" w:hAnsi="Segoe UI" w:cs="Segoe UI"/>
      <w:sz w:val="18"/>
      <w:szCs w:val="18"/>
    </w:rPr>
  </w:style>
  <w:style w:type="paragraph" w:customStyle="1" w:styleId="SAAaBodytext">
    <w:name w:val="SAA (a) Body text"/>
    <w:next w:val="Normal"/>
    <w:qFormat/>
    <w:rsid w:val="00CC7AA8"/>
    <w:pPr>
      <w:numPr>
        <w:numId w:val="14"/>
      </w:numPr>
      <w:spacing w:before="120" w:after="0" w:line="240" w:lineRule="auto"/>
    </w:pPr>
  </w:style>
  <w:style w:type="paragraph" w:customStyle="1" w:styleId="SAABodytext">
    <w:name w:val="SAA Body text"/>
    <w:next w:val="Normal"/>
    <w:qFormat/>
    <w:rsid w:val="00CC7AA8"/>
    <w:pPr>
      <w:spacing w:before="120" w:after="0" w:line="240" w:lineRule="auto"/>
    </w:pPr>
    <w:rPr>
      <w:rFonts w:cstheme="minorHAnsi"/>
      <w:bCs/>
      <w:szCs w:val="22"/>
    </w:rPr>
  </w:style>
  <w:style w:type="paragraph" w:customStyle="1" w:styleId="SAABodytextitalics">
    <w:name w:val="SAA Body text (italics)"/>
    <w:next w:val="Normal"/>
    <w:qFormat/>
    <w:rsid w:val="00CC7AA8"/>
    <w:pPr>
      <w:spacing w:before="160" w:after="0" w:line="240" w:lineRule="auto"/>
    </w:pPr>
    <w:rPr>
      <w:rFonts w:cstheme="minorHAnsi"/>
      <w:bCs/>
      <w:i/>
      <w:szCs w:val="22"/>
    </w:rPr>
  </w:style>
  <w:style w:type="character" w:customStyle="1" w:styleId="SAABold">
    <w:name w:val="SAA Bold"/>
    <w:basedOn w:val="DefaultParagraphFont"/>
    <w:uiPriority w:val="1"/>
    <w:qFormat/>
    <w:rsid w:val="00CC7AA8"/>
    <w:rPr>
      <w:b/>
    </w:rPr>
  </w:style>
  <w:style w:type="paragraph" w:customStyle="1" w:styleId="SAABullets0">
    <w:name w:val="SAA Bullets"/>
    <w:next w:val="Normal"/>
    <w:link w:val="SAABulletsChar"/>
    <w:qFormat/>
    <w:rsid w:val="00E61048"/>
    <w:pPr>
      <w:numPr>
        <w:numId w:val="15"/>
      </w:numPr>
      <w:spacing w:before="120" w:after="0" w:line="240" w:lineRule="auto"/>
      <w:ind w:left="340" w:hanging="340"/>
    </w:pPr>
    <w:rPr>
      <w:rFonts w:cstheme="minorHAnsi"/>
      <w:bCs/>
      <w:szCs w:val="22"/>
    </w:rPr>
  </w:style>
  <w:style w:type="character" w:customStyle="1" w:styleId="SAABulletsChar">
    <w:name w:val="SAA Bullets Char"/>
    <w:basedOn w:val="DefaultParagraphFont"/>
    <w:link w:val="SAABullets0"/>
    <w:rsid w:val="00E61048"/>
    <w:rPr>
      <w:rFonts w:cstheme="minorHAnsi"/>
      <w:bCs/>
      <w:szCs w:val="22"/>
    </w:rPr>
  </w:style>
  <w:style w:type="paragraph" w:customStyle="1" w:styleId="SAAHeading1">
    <w:name w:val="SAA Heading 1"/>
    <w:next w:val="Normal"/>
    <w:qFormat/>
    <w:rsid w:val="00CC7AA8"/>
    <w:pPr>
      <w:spacing w:before="360" w:after="0" w:line="240" w:lineRule="auto"/>
    </w:pPr>
    <w:rPr>
      <w:rFonts w:eastAsia="Times New Roman" w:cs="Times New Roman"/>
      <w:spacing w:val="-5"/>
      <w:sz w:val="32"/>
      <w:szCs w:val="56"/>
    </w:rPr>
  </w:style>
  <w:style w:type="paragraph" w:customStyle="1" w:styleId="SAAHeading2">
    <w:name w:val="SAA Heading 2"/>
    <w:next w:val="Normal"/>
    <w:qFormat/>
    <w:rsid w:val="00CC7AA8"/>
    <w:pPr>
      <w:spacing w:before="360" w:after="120" w:line="240" w:lineRule="auto"/>
    </w:pPr>
    <w:rPr>
      <w:rFonts w:ascii="Roboto Medium" w:hAnsi="Roboto Medium" w:cstheme="minorHAnsi"/>
      <w:bCs/>
      <w:sz w:val="24"/>
      <w:szCs w:val="22"/>
    </w:rPr>
  </w:style>
  <w:style w:type="paragraph" w:customStyle="1" w:styleId="SAAHeading2afterH1">
    <w:name w:val="SAA Heading 2 (after H1)"/>
    <w:next w:val="Normal"/>
    <w:qFormat/>
    <w:rsid w:val="00CC7AA8"/>
    <w:pPr>
      <w:spacing w:before="240" w:after="120" w:line="240" w:lineRule="auto"/>
    </w:pPr>
    <w:rPr>
      <w:rFonts w:ascii="Roboto Medium" w:eastAsiaTheme="majorEastAsia" w:hAnsi="Roboto Medium" w:cstheme="majorBidi"/>
      <w:sz w:val="24"/>
      <w:szCs w:val="26"/>
    </w:rPr>
  </w:style>
  <w:style w:type="paragraph" w:customStyle="1" w:styleId="SAAHeading2centred">
    <w:name w:val="SAA Heading 2 (centred)"/>
    <w:next w:val="Normal"/>
    <w:qFormat/>
    <w:rsid w:val="00CC7AA8"/>
    <w:pPr>
      <w:spacing w:before="360" w:after="60" w:line="240" w:lineRule="auto"/>
      <w:jc w:val="center"/>
    </w:pPr>
    <w:rPr>
      <w:rFonts w:ascii="Roboto Medium" w:eastAsiaTheme="majorEastAsia" w:hAnsi="Roboto Medium" w:cstheme="majorBidi"/>
      <w:sz w:val="24"/>
      <w:szCs w:val="26"/>
    </w:rPr>
  </w:style>
  <w:style w:type="paragraph" w:customStyle="1" w:styleId="SAAHeading3">
    <w:name w:val="SAA Heading 3"/>
    <w:next w:val="Normal"/>
    <w:qFormat/>
    <w:rsid w:val="00CC7AA8"/>
    <w:pPr>
      <w:spacing w:before="240" w:after="120" w:line="240" w:lineRule="auto"/>
    </w:pPr>
    <w:rPr>
      <w:rFonts w:ascii="Roboto Medium" w:eastAsiaTheme="majorEastAsia" w:hAnsi="Roboto Medium" w:cstheme="majorBidi"/>
      <w:color w:val="000000" w:themeColor="text1"/>
      <w:sz w:val="22"/>
      <w:szCs w:val="22"/>
    </w:rPr>
  </w:style>
  <w:style w:type="paragraph" w:customStyle="1" w:styleId="SAAHeading3centred">
    <w:name w:val="SAA Heading 3 (centred)"/>
    <w:next w:val="Normal"/>
    <w:qFormat/>
    <w:rsid w:val="00CC7AA8"/>
    <w:pPr>
      <w:spacing w:before="360" w:after="60" w:line="240" w:lineRule="auto"/>
      <w:jc w:val="center"/>
    </w:pPr>
    <w:rPr>
      <w:rFonts w:ascii="Roboto Medium" w:eastAsiaTheme="majorEastAsia" w:hAnsi="Roboto Medium" w:cstheme="majorBidi"/>
      <w:color w:val="000000" w:themeColor="text1"/>
      <w:sz w:val="22"/>
      <w:szCs w:val="22"/>
    </w:rPr>
  </w:style>
  <w:style w:type="paragraph" w:customStyle="1" w:styleId="SAAHeading3centredafterH2centred">
    <w:name w:val="SAA Heading 3 centred (after H2 centred)"/>
    <w:next w:val="Normal"/>
    <w:qFormat/>
    <w:rsid w:val="00CC7AA8"/>
    <w:pPr>
      <w:spacing w:after="120" w:line="240" w:lineRule="auto"/>
      <w:jc w:val="center"/>
    </w:pPr>
    <w:rPr>
      <w:rFonts w:ascii="Roboto Medium" w:eastAsiaTheme="majorEastAsia" w:hAnsi="Roboto Medium" w:cstheme="majorBidi"/>
      <w:bCs/>
      <w:color w:val="000000" w:themeColor="text1"/>
      <w:sz w:val="22"/>
    </w:rPr>
  </w:style>
  <w:style w:type="paragraph" w:customStyle="1" w:styleId="SAAHeading3centredTOP">
    <w:name w:val="SAA Heading 3 centred TOP"/>
    <w:next w:val="Normal"/>
    <w:qFormat/>
    <w:rsid w:val="00CC7AA8"/>
    <w:pPr>
      <w:spacing w:line="240" w:lineRule="auto"/>
      <w:jc w:val="center"/>
    </w:pPr>
    <w:rPr>
      <w:rFonts w:ascii="Roboto Medium" w:eastAsiaTheme="majorEastAsia" w:hAnsi="Roboto Medium" w:cstheme="majorBidi"/>
      <w:bCs/>
      <w:color w:val="000000" w:themeColor="text1"/>
      <w:sz w:val="22"/>
    </w:rPr>
  </w:style>
  <w:style w:type="paragraph" w:customStyle="1" w:styleId="SAAHeading4">
    <w:name w:val="SAA Heading 4"/>
    <w:next w:val="Normal"/>
    <w:qFormat/>
    <w:rsid w:val="00CC7AA8"/>
    <w:pPr>
      <w:spacing w:before="240" w:after="120" w:line="240" w:lineRule="auto"/>
    </w:pPr>
    <w:rPr>
      <w:rFonts w:ascii="Roboto Medium" w:eastAsiaTheme="majorEastAsia" w:hAnsi="Roboto Medium" w:cstheme="majorBidi"/>
      <w:bCs/>
      <w:szCs w:val="22"/>
    </w:rPr>
  </w:style>
  <w:style w:type="paragraph" w:customStyle="1" w:styleId="SAAHeading5">
    <w:name w:val="SAA Heading 5"/>
    <w:next w:val="Normal"/>
    <w:qFormat/>
    <w:rsid w:val="00CC7AA8"/>
    <w:pPr>
      <w:spacing w:before="240" w:after="120" w:line="240" w:lineRule="auto"/>
    </w:pPr>
    <w:rPr>
      <w:rFonts w:eastAsiaTheme="majorEastAsia" w:cstheme="majorBidi"/>
      <w:bCs/>
      <w:szCs w:val="22"/>
    </w:rPr>
  </w:style>
  <w:style w:type="character" w:customStyle="1" w:styleId="SAAItalics">
    <w:name w:val="SAA Italics"/>
    <w:basedOn w:val="DefaultParagraphFont"/>
    <w:uiPriority w:val="1"/>
    <w:qFormat/>
    <w:rsid w:val="00CC7AA8"/>
    <w:rPr>
      <w:i/>
    </w:rPr>
  </w:style>
  <w:style w:type="paragraph" w:customStyle="1" w:styleId="SAAQuestion12etc">
    <w:name w:val="SAA Question 1 2 etc"/>
    <w:next w:val="Normal"/>
    <w:qFormat/>
    <w:rsid w:val="00CC7AA8"/>
    <w:pPr>
      <w:spacing w:before="120" w:after="120" w:line="240" w:lineRule="auto"/>
    </w:pPr>
    <w:rPr>
      <w:rFonts w:ascii="Roboto Medium" w:eastAsiaTheme="majorEastAsia" w:hAnsi="Roboto Medium" w:cstheme="majorBidi"/>
      <w:bCs/>
      <w:color w:val="000000" w:themeColor="text1"/>
    </w:rPr>
  </w:style>
  <w:style w:type="paragraph" w:customStyle="1" w:styleId="SAASubjectHeading">
    <w:name w:val="SAA Subject Heading"/>
    <w:basedOn w:val="Heading1"/>
    <w:qFormat/>
    <w:rsid w:val="00CC7AA8"/>
    <w:pPr>
      <w:spacing w:before="0" w:line="240" w:lineRule="auto"/>
    </w:pPr>
    <w:rPr>
      <w:bCs w:val="0"/>
    </w:rPr>
  </w:style>
  <w:style w:type="paragraph" w:styleId="ListParagraph">
    <w:name w:val="List Paragraph"/>
    <w:basedOn w:val="Normal"/>
    <w:uiPriority w:val="34"/>
    <w:qFormat/>
    <w:rsid w:val="00BA5182"/>
    <w:pPr>
      <w:ind w:left="720"/>
      <w:contextualSpacing/>
    </w:pPr>
  </w:style>
  <w:style w:type="character" w:styleId="UnresolvedMention">
    <w:name w:val="Unresolved Mention"/>
    <w:basedOn w:val="DefaultParagraphFont"/>
    <w:uiPriority w:val="99"/>
    <w:semiHidden/>
    <w:unhideWhenUsed/>
    <w:rsid w:val="008D2E22"/>
    <w:rPr>
      <w:color w:val="605E5C"/>
      <w:shd w:val="clear" w:color="auto" w:fill="E1DFDD"/>
    </w:rPr>
  </w:style>
  <w:style w:type="paragraph" w:customStyle="1" w:styleId="SAAbullets">
    <w:name w:val="SAA bullets"/>
    <w:next w:val="Normal"/>
    <w:qFormat/>
    <w:rsid w:val="003B6F67"/>
    <w:pPr>
      <w:numPr>
        <w:numId w:val="27"/>
      </w:numPr>
      <w:spacing w:before="120" w:after="0" w:line="240" w:lineRule="auto"/>
      <w:ind w:left="340" w:hanging="340"/>
    </w:pPr>
    <w:rPr>
      <w:szCs w:val="22"/>
    </w:rPr>
  </w:style>
  <w:style w:type="character" w:styleId="FollowedHyperlink">
    <w:name w:val="FollowedHyperlink"/>
    <w:basedOn w:val="DefaultParagraphFont"/>
    <w:uiPriority w:val="99"/>
    <w:semiHidden/>
    <w:unhideWhenUsed/>
    <w:rsid w:val="00044A1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3939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er" Target="footer1.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header" Target="header1.xm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webSettings" Target="webSettings.xml" Id="rId6" /><Relationship Type="http://schemas.openxmlformats.org/officeDocument/2006/relationships/hyperlink" Target="https://www.sace.sa.edu.au/documents/652891/ba9e5ade-bc39-0a0e-02cd-69b96ac88c22" TargetMode="External" Id="rId11" /><Relationship Type="http://schemas.openxmlformats.org/officeDocument/2006/relationships/settings" Target="settings.xml" Id="rId5" /><Relationship Type="http://schemas.openxmlformats.org/officeDocument/2006/relationships/footer" Target="footer2.xml" Id="rId15" /><Relationship Type="http://schemas.openxmlformats.org/officeDocument/2006/relationships/hyperlink" Target="https://www.sace.sa.edu.au/documents/652891/03a916d0-e787-c120-96b1-65c1dad7d453" TargetMode="External" Id="rId10" /><Relationship Type="http://schemas.openxmlformats.org/officeDocument/2006/relationships/styles" Target="styles.xml" Id="rId4" /><Relationship Type="http://schemas.openxmlformats.org/officeDocument/2006/relationships/hyperlink" Target="https://www.sace.sa.edu.au/documents/652891/1c90fca3-c7b3-5a89-ad51-cbf42684b3cb" TargetMode="External" Id="rId9" /><Relationship Type="http://schemas.openxmlformats.org/officeDocument/2006/relationships/header" Target="header2.xml" Id="rId14" /><Relationship Type="http://schemas.openxmlformats.org/officeDocument/2006/relationships/customXml" Target="/customXML/item4.xml" Id="Rd31659f7806141eb" /></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4.xml.rels>&#65279;<?xml version="1.0" encoding="utf-8"?><Relationships xmlns="http://schemas.openxmlformats.org/package/2006/relationships"><Relationship Type="http://schemas.openxmlformats.org/officeDocument/2006/relationships/customXmlProps" Target="/customXML/itemProps4.xml" Id="Rd3c4172d526e4b2384ade4b889302c76" /></Relationships>
</file>

<file path=customXML/item4.xml><?xml version="1.0" encoding="utf-8"?>
<metadata xmlns="http://www.objective.com/ecm/document/metadata/CB029ECD6D85427BAD5E1D35DE4A29A4" version="1.0.0">
  <systemFields>
    <field name="Objective-Id">
      <value order="0">A1063810</value>
    </field>
    <field name="Objective-Title">
      <value order="0">2021 Ancient Studies Subject Assessment Advice</value>
    </field>
    <field name="Objective-Description">
      <value order="0"/>
    </field>
    <field name="Objective-CreationStamp">
      <value order="0">2022-02-15T00:28:34Z</value>
    </field>
    <field name="Objective-IsApproved">
      <value order="0">false</value>
    </field>
    <field name="Objective-IsPublished">
      <value order="0">true</value>
    </field>
    <field name="Objective-DatePublished">
      <value order="0">2022-02-17T02:32:35Z</value>
    </field>
    <field name="Objective-ModificationStamp">
      <value order="0">2022-02-17T02:32:41Z</value>
    </field>
    <field name="Objective-Owner">
      <value order="0">Ruth Ekwomadu</value>
    </field>
    <field name="Objective-Path">
      <value order="0">Objective Global Folder:Quality Assurance Cycle:Stage 2 - 4. Improving:Subject Assessment Advice:2021 Subject Assessment Advice:2021 Subject Assessment Advice - EDIT and PUBLISH (Final) - RUTH ONLY:READY TO BE UPLOADED</value>
    </field>
    <field name="Objective-Parent">
      <value order="0">READY TO BE UPLOADED</value>
    </field>
    <field name="Objective-State">
      <value order="0">Published</value>
    </field>
    <field name="Objective-VersionId">
      <value order="0">vA1747595</value>
    </field>
    <field name="Objective-Version">
      <value order="0">2.0</value>
    </field>
    <field name="Objective-VersionNumber">
      <value order="0">5</value>
    </field>
    <field name="Objective-VersionComment">
      <value order="0"/>
    </field>
    <field name="Objective-FileNumber">
      <value order="0">qA18926</value>
    </field>
    <field name="Objective-Classification">
      <value order="0"/>
    </field>
    <field name="Objective-Caveats">
      <value order="0"/>
    </field>
  </systemFields>
  <catalogues>
    <catalogue name="Document Type Catalogue" type="type" ori="id:cA25">
      <field name="Objective-Security Classification">
        <value order="0">OFFICIAL</value>
      </field>
    </catalogue>
  </catalogues>
</metadata>
</file>

<file path=customXML/itemProps4.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XSL" StyleName="APA"/>
</file>

<file path=customXml/itemProps2.xml><?xml version="1.0" encoding="utf-8"?>
<ds:datastoreItem xmlns:ds="http://schemas.openxmlformats.org/officeDocument/2006/customXml" ds:itemID="{075E4286-E53E-4CC8-A5E5-F3B242CD54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4</Pages>
  <Words>2008</Words>
  <Characters>11447</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SACE Board of South Australia</Company>
  <LinksUpToDate>false</LinksUpToDate>
  <CharactersWithSpaces>13429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April Hill</dc:creator>
  <cp:lastModifiedBy>Thompson, Virginia (SACE)</cp:lastModifiedBy>
  <cp:revision>10</cp:revision>
  <cp:lastPrinted>2019-12-09T04:49:00Z</cp:lastPrinted>
  <dcterms:created xsi:type="dcterms:W3CDTF">2022-02-16T08:03:00Z</dcterms:created>
  <dcterms:modified xsi:type="dcterms:W3CDTF">2022-02-16T09:49:00Z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A1063810</vt:lpwstr>
  </property>
  <property fmtid="{D5CDD505-2E9C-101B-9397-08002B2CF9AE}" pid="4" name="Objective-Title">
    <vt:lpwstr>2021 Ancient Studies Subject Assessment Advice</vt:lpwstr>
  </property>
  <property fmtid="{D5CDD505-2E9C-101B-9397-08002B2CF9AE}" pid="5" name="Objective-Description">
    <vt:lpwstr/>
  </property>
  <property fmtid="{D5CDD505-2E9C-101B-9397-08002B2CF9AE}" pid="6" name="Objective-CreationStamp">
    <vt:filetime>2022-02-15T00:28:34Z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2022-02-17T02:32:35Z</vt:filetime>
  </property>
  <property fmtid="{D5CDD505-2E9C-101B-9397-08002B2CF9AE}" pid="10" name="Objective-ModificationStamp">
    <vt:filetime>2022-02-17T02:32:41Z</vt:filetime>
  </property>
  <property fmtid="{D5CDD505-2E9C-101B-9397-08002B2CF9AE}" pid="11" name="Objective-Owner">
    <vt:lpwstr>Ruth Ekwomadu</vt:lpwstr>
  </property>
  <property fmtid="{D5CDD505-2E9C-101B-9397-08002B2CF9AE}" pid="12" name="Objective-Path">
    <vt:lpwstr>Objective Global Folder:Quality Assurance Cycle:Stage 2 - 4. Improving:Subject Assessment Advice:2021 Subject Assessment Advice:2021 Subject Assessment Advice - EDIT and PUBLISH (Final) - RUTH ONLY:READY TO BE UPLOADED</vt:lpwstr>
  </property>
  <property fmtid="{D5CDD505-2E9C-101B-9397-08002B2CF9AE}" pid="13" name="Objective-Parent">
    <vt:lpwstr>READY TO BE UPLOADED</vt:lpwstr>
  </property>
  <property fmtid="{D5CDD505-2E9C-101B-9397-08002B2CF9AE}" pid="14" name="Objective-State">
    <vt:lpwstr>Published</vt:lpwstr>
  </property>
  <property fmtid="{D5CDD505-2E9C-101B-9397-08002B2CF9AE}" pid="15" name="Objective-VersionId">
    <vt:lpwstr>vA1747595</vt:lpwstr>
  </property>
  <property fmtid="{D5CDD505-2E9C-101B-9397-08002B2CF9AE}" pid="16" name="Objective-Version">
    <vt:lpwstr>2.0</vt:lpwstr>
  </property>
  <property fmtid="{D5CDD505-2E9C-101B-9397-08002B2CF9AE}" pid="17" name="Objective-VersionNumber">
    <vt:r8>5</vt:r8>
  </property>
  <property fmtid="{D5CDD505-2E9C-101B-9397-08002B2CF9AE}" pid="18" name="Objective-VersionComment">
    <vt:lpwstr/>
  </property>
  <property fmtid="{D5CDD505-2E9C-101B-9397-08002B2CF9AE}" pid="19" name="Objective-FileNumber">
    <vt:lpwstr>qA18926</vt:lpwstr>
  </property>
  <property fmtid="{D5CDD505-2E9C-101B-9397-08002B2CF9AE}" pid="20" name="Objective-Classification">
    <vt:lpwstr/>
  </property>
  <property fmtid="{D5CDD505-2E9C-101B-9397-08002B2CF9AE}" pid="21" name="Objective-Caveats">
    <vt:lpwstr/>
  </property>
  <property fmtid="{D5CDD505-2E9C-101B-9397-08002B2CF9AE}" pid="22" name="Objective-Comment">
    <vt:lpwstr/>
  </property>
  <property fmtid="{D5CDD505-2E9C-101B-9397-08002B2CF9AE}" pid="23" name="Objective-Security Classification">
    <vt:lpwstr>OFFICIAL</vt:lpwstr>
  </property>
  <property fmtid="{D5CDD505-2E9C-101B-9397-08002B2CF9AE}" pid="24" name="MSIP_Label_77274858-3b1d-4431-8679-d878f40e28fd_Enabled">
    <vt:lpwstr>true</vt:lpwstr>
  </property>
  <property fmtid="{D5CDD505-2E9C-101B-9397-08002B2CF9AE}" pid="25" name="MSIP_Label_77274858-3b1d-4431-8679-d878f40e28fd_SetDate">
    <vt:lpwstr>2022-02-16T08:03:15Z</vt:lpwstr>
  </property>
  <property fmtid="{D5CDD505-2E9C-101B-9397-08002B2CF9AE}" pid="26" name="MSIP_Label_77274858-3b1d-4431-8679-d878f40e28fd_Method">
    <vt:lpwstr>Privileged</vt:lpwstr>
  </property>
  <property fmtid="{D5CDD505-2E9C-101B-9397-08002B2CF9AE}" pid="27" name="MSIP_Label_77274858-3b1d-4431-8679-d878f40e28fd_Name">
    <vt:lpwstr>-Official</vt:lpwstr>
  </property>
  <property fmtid="{D5CDD505-2E9C-101B-9397-08002B2CF9AE}" pid="28" name="MSIP_Label_77274858-3b1d-4431-8679-d878f40e28fd_SiteId">
    <vt:lpwstr>bda528f7-fca9-432f-bc98-bd7e90d40906</vt:lpwstr>
  </property>
  <property fmtid="{D5CDD505-2E9C-101B-9397-08002B2CF9AE}" pid="29" name="MSIP_Label_77274858-3b1d-4431-8679-d878f40e28fd_ActionId">
    <vt:lpwstr>7f6de5d1-5be3-482f-a5d7-f71804149fe6</vt:lpwstr>
  </property>
  <property fmtid="{D5CDD505-2E9C-101B-9397-08002B2CF9AE}" pid="30" name="MSIP_Label_77274858-3b1d-4431-8679-d878f40e28fd_ContentBits">
    <vt:lpwstr>1</vt:lpwstr>
  </property>
</Properties>
</file>