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5E" w:rsidRPr="0047174E" w:rsidRDefault="002D0558" w:rsidP="00D12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The case of the a2 Milk Company </w:t>
      </w:r>
    </w:p>
    <w:p w:rsidR="00D1255E" w:rsidRPr="00C04660" w:rsidRDefault="00D1255E" w:rsidP="00D12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14142"/>
          <w:sz w:val="24"/>
          <w:szCs w:val="28"/>
        </w:rPr>
      </w:pPr>
    </w:p>
    <w:p w:rsidR="002D0558" w:rsidRPr="00C04660" w:rsidRDefault="002D0558" w:rsidP="002D0558">
      <w:pPr>
        <w:rPr>
          <w:rFonts w:ascii="Arial" w:hAnsi="Arial" w:cs="Arial"/>
          <w:lang w:val="en"/>
        </w:rPr>
      </w:pPr>
      <w:r w:rsidRPr="00C04660">
        <w:rPr>
          <w:rFonts w:ascii="Arial" w:hAnsi="Arial" w:cs="Arial"/>
          <w:lang w:val="en"/>
        </w:rPr>
        <w:t xml:space="preserve">This task has a focus on Science as a Human Endeavour, and in particular </w:t>
      </w:r>
      <w:r w:rsidR="00B0435A">
        <w:rPr>
          <w:rFonts w:ascii="Arial" w:hAnsi="Arial" w:cs="Arial"/>
          <w:lang w:val="en"/>
        </w:rPr>
        <w:t>how the use of scientific knowledge has been used for economic benefit and has influenced consumer behaviour.</w:t>
      </w:r>
    </w:p>
    <w:p w:rsidR="002D0558" w:rsidRPr="00C04660" w:rsidRDefault="003A5B9F" w:rsidP="003A5B9F">
      <w:pPr>
        <w:rPr>
          <w:rFonts w:ascii="Arial" w:hAnsi="Arial" w:cs="Arial"/>
        </w:rPr>
      </w:pPr>
      <w:r w:rsidRPr="002B6151">
        <w:rPr>
          <w:rFonts w:ascii="Arial" w:hAnsi="Arial" w:cs="Arial"/>
          <w:lang w:val="en"/>
        </w:rPr>
        <w:t xml:space="preserve">A2 Milk was founded in 2000 in New Zealand by scientist </w:t>
      </w:r>
      <w:proofErr w:type="spellStart"/>
      <w:r w:rsidRPr="002B6151">
        <w:rPr>
          <w:rFonts w:ascii="Arial" w:hAnsi="Arial" w:cs="Arial"/>
          <w:lang w:val="en"/>
        </w:rPr>
        <w:t>Dr</w:t>
      </w:r>
      <w:proofErr w:type="spellEnd"/>
      <w:r w:rsidRPr="002B6151">
        <w:rPr>
          <w:rFonts w:ascii="Arial" w:hAnsi="Arial" w:cs="Arial"/>
          <w:lang w:val="en"/>
        </w:rPr>
        <w:t xml:space="preserve"> </w:t>
      </w:r>
      <w:proofErr w:type="spellStart"/>
      <w:r w:rsidRPr="002B6151">
        <w:rPr>
          <w:rFonts w:ascii="Arial" w:hAnsi="Arial" w:cs="Arial"/>
          <w:lang w:val="en"/>
        </w:rPr>
        <w:t>Corran</w:t>
      </w:r>
      <w:proofErr w:type="spellEnd"/>
      <w:r w:rsidRPr="002B6151">
        <w:rPr>
          <w:rFonts w:ascii="Arial" w:hAnsi="Arial" w:cs="Arial"/>
          <w:lang w:val="en"/>
        </w:rPr>
        <w:t xml:space="preserve"> McLachlan, who discovered that cows naturally produce different types of proteins in milk and these proteins affect people's health and wellbeing.</w:t>
      </w:r>
      <w:r>
        <w:rPr>
          <w:rFonts w:ascii="Arial" w:hAnsi="Arial" w:cs="Arial"/>
          <w:lang w:val="en"/>
        </w:rPr>
        <w:t xml:space="preserve"> Sales of a2 milk have been strong despite most areas of the dairy industry struggling. Other brands have tried using the a2 feature in their advertising. Now l</w:t>
      </w:r>
      <w:r w:rsidR="00C04660" w:rsidRPr="00C04660">
        <w:rPr>
          <w:rFonts w:ascii="Arial" w:hAnsi="Arial" w:cs="Arial"/>
          <w:lang w:val="en"/>
        </w:rPr>
        <w:t>egal cases will test a2's marketing material, scientific studies and claims.</w:t>
      </w:r>
    </w:p>
    <w:p w:rsidR="002D0558" w:rsidRPr="00C04660" w:rsidRDefault="002D0558" w:rsidP="002D0558">
      <w:pPr>
        <w:rPr>
          <w:rFonts w:ascii="Arial" w:hAnsi="Arial" w:cs="Arial"/>
          <w:lang w:val="en-US"/>
        </w:rPr>
      </w:pPr>
      <w:r w:rsidRPr="00C04660">
        <w:rPr>
          <w:rFonts w:ascii="Arial" w:hAnsi="Arial" w:cs="Arial"/>
          <w:lang w:val="en-US"/>
        </w:rPr>
        <w:t xml:space="preserve">Search for information about the history of the </w:t>
      </w:r>
      <w:r w:rsidR="003A5B9F">
        <w:rPr>
          <w:rFonts w:ascii="Arial" w:hAnsi="Arial" w:cs="Arial"/>
          <w:lang w:val="en-US"/>
        </w:rPr>
        <w:t>a2 Milk Company</w:t>
      </w:r>
      <w:r w:rsidRPr="00C04660">
        <w:rPr>
          <w:rFonts w:ascii="Arial" w:hAnsi="Arial" w:cs="Arial"/>
          <w:lang w:val="en-US"/>
        </w:rPr>
        <w:t xml:space="preserve">. Present your findings in a format of your choice such as an infographic, an article for </w:t>
      </w:r>
      <w:r w:rsidR="00C04660">
        <w:rPr>
          <w:rFonts w:ascii="Arial" w:hAnsi="Arial" w:cs="Arial"/>
          <w:lang w:val="en-US"/>
        </w:rPr>
        <w:t>the Stock Journal</w:t>
      </w:r>
      <w:r w:rsidRPr="00C04660">
        <w:rPr>
          <w:rFonts w:ascii="Arial" w:hAnsi="Arial" w:cs="Arial"/>
          <w:lang w:val="en-US"/>
        </w:rPr>
        <w:t xml:space="preserve"> or an oral presentation.</w:t>
      </w:r>
    </w:p>
    <w:p w:rsidR="002D0558" w:rsidRPr="00C04660" w:rsidRDefault="002D0558" w:rsidP="002D0558">
      <w:pPr>
        <w:spacing w:after="120"/>
        <w:rPr>
          <w:rFonts w:ascii="Arial" w:hAnsi="Arial" w:cs="Arial"/>
          <w:lang w:val="en-US"/>
        </w:rPr>
      </w:pPr>
      <w:r w:rsidRPr="00C04660">
        <w:rPr>
          <w:rFonts w:ascii="Arial" w:hAnsi="Arial" w:cs="Arial"/>
          <w:lang w:val="en-US"/>
        </w:rPr>
        <w:t>You should include the following information:</w:t>
      </w:r>
    </w:p>
    <w:p w:rsidR="00B0435A" w:rsidRPr="00B0435A" w:rsidRDefault="002D0558" w:rsidP="002D055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B0435A">
        <w:rPr>
          <w:rFonts w:ascii="Arial" w:hAnsi="Arial" w:cs="Arial"/>
          <w:lang w:val="en-US"/>
        </w:rPr>
        <w:t xml:space="preserve">Description of the properties of </w:t>
      </w:r>
      <w:r w:rsidR="00C04660" w:rsidRPr="00B0435A">
        <w:rPr>
          <w:rFonts w:ascii="Arial" w:hAnsi="Arial" w:cs="Arial"/>
          <w:lang w:val="en-US"/>
        </w:rPr>
        <w:t>a2 milk that are claimed to be different from other types of milk</w:t>
      </w:r>
    </w:p>
    <w:p w:rsidR="002E0740" w:rsidRPr="002E0740" w:rsidRDefault="002E0740" w:rsidP="002E074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2E0740">
        <w:rPr>
          <w:rFonts w:ascii="Arial" w:hAnsi="Arial" w:cs="Arial"/>
          <w:lang w:val="en-US"/>
        </w:rPr>
        <w:t>Description of</w:t>
      </w:r>
      <w:r>
        <w:rPr>
          <w:rFonts w:ascii="Arial" w:hAnsi="Arial" w:cs="Arial"/>
          <w:lang w:val="en-US"/>
        </w:rPr>
        <w:t xml:space="preserve"> the link between</w:t>
      </w:r>
      <w:r w:rsidRPr="002E0740">
        <w:rPr>
          <w:rFonts w:ascii="Arial" w:hAnsi="Arial" w:cs="Arial"/>
          <w:lang w:val="en-US"/>
        </w:rPr>
        <w:t xml:space="preserve"> a2 milk </w:t>
      </w:r>
      <w:r>
        <w:rPr>
          <w:rFonts w:ascii="Arial" w:hAnsi="Arial" w:cs="Arial"/>
          <w:lang w:val="en-US"/>
        </w:rPr>
        <w:t>and</w:t>
      </w:r>
      <w:r w:rsidRPr="002E0740">
        <w:rPr>
          <w:rFonts w:ascii="Arial" w:hAnsi="Arial" w:cs="Arial"/>
          <w:lang w:val="en-US"/>
        </w:rPr>
        <w:t xml:space="preserve"> </w:t>
      </w:r>
      <w:r w:rsidRPr="002E0740">
        <w:rPr>
          <w:rFonts w:ascii="Arial" w:hAnsi="Arial" w:cs="Arial"/>
          <w:lang w:val="en"/>
        </w:rPr>
        <w:t>modern farming practices</w:t>
      </w:r>
    </w:p>
    <w:p w:rsidR="002D0558" w:rsidRPr="00C04660" w:rsidRDefault="00B0435A" w:rsidP="002D055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C04660">
        <w:rPr>
          <w:rFonts w:ascii="Arial" w:hAnsi="Arial" w:cs="Arial"/>
          <w:lang w:val="en-US"/>
        </w:rPr>
        <w:t xml:space="preserve">Description </w:t>
      </w:r>
      <w:r w:rsidR="002D0558" w:rsidRPr="00C04660">
        <w:rPr>
          <w:rFonts w:ascii="Arial" w:hAnsi="Arial" w:cs="Arial"/>
        </w:rPr>
        <w:t xml:space="preserve">of how </w:t>
      </w:r>
      <w:r w:rsidR="00C04660">
        <w:rPr>
          <w:rFonts w:ascii="Arial" w:hAnsi="Arial" w:cs="Arial"/>
          <w:lang w:val="en-US"/>
        </w:rPr>
        <w:t>the marketing of a2 milk has boosted sales for the a2 milk company</w:t>
      </w:r>
    </w:p>
    <w:p w:rsidR="002D0558" w:rsidRDefault="00C04660" w:rsidP="002D055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Discussion of the legal cases involving the  a2 Milk Company</w:t>
      </w:r>
    </w:p>
    <w:p w:rsidR="002D0558" w:rsidRPr="00B0435A" w:rsidRDefault="00B0435A" w:rsidP="002D055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A consideration of the ethics</w:t>
      </w:r>
      <w:r w:rsidR="002E0740">
        <w:rPr>
          <w:rFonts w:ascii="Arial" w:hAnsi="Arial" w:cs="Arial"/>
        </w:rPr>
        <w:t xml:space="preserve"> and validity</w:t>
      </w:r>
      <w:r>
        <w:rPr>
          <w:rFonts w:ascii="Arial" w:hAnsi="Arial" w:cs="Arial"/>
        </w:rPr>
        <w:t xml:space="preserve"> of the claims made by the a2 Milk Company</w:t>
      </w:r>
    </w:p>
    <w:p w:rsidR="00B0435A" w:rsidRPr="00C04660" w:rsidRDefault="00B0435A" w:rsidP="002D055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An explanation of whether you would choose to drink a2 milk</w:t>
      </w:r>
    </w:p>
    <w:p w:rsidR="002D0558" w:rsidRPr="00C04660" w:rsidRDefault="002D0558" w:rsidP="002D055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04660">
        <w:rPr>
          <w:rFonts w:ascii="Arial" w:hAnsi="Arial" w:cs="Arial"/>
        </w:rPr>
        <w:t xml:space="preserve">Appropriate acknowledgement of your sources of information </w:t>
      </w:r>
    </w:p>
    <w:p w:rsidR="002D0558" w:rsidRPr="00C04660" w:rsidRDefault="002D0558" w:rsidP="002D0558">
      <w:pPr>
        <w:autoSpaceDE w:val="0"/>
        <w:autoSpaceDN w:val="0"/>
        <w:adjustRightInd w:val="0"/>
        <w:rPr>
          <w:rFonts w:ascii="Arial" w:hAnsi="Arial" w:cs="Arial"/>
        </w:rPr>
      </w:pPr>
    </w:p>
    <w:p w:rsidR="002D0558" w:rsidRPr="00C04660" w:rsidRDefault="002D0558" w:rsidP="002D0558">
      <w:pPr>
        <w:spacing w:after="120"/>
        <w:rPr>
          <w:rFonts w:ascii="Arial" w:hAnsi="Arial" w:cs="Arial"/>
          <w:b/>
          <w:u w:val="single"/>
        </w:rPr>
      </w:pPr>
      <w:r w:rsidRPr="00C04660">
        <w:rPr>
          <w:rFonts w:ascii="Arial" w:hAnsi="Arial" w:cs="Arial"/>
          <w:b/>
          <w:u w:val="single"/>
        </w:rPr>
        <w:t>Assessment Conditions:</w:t>
      </w:r>
    </w:p>
    <w:p w:rsidR="002D0558" w:rsidRPr="00C04660" w:rsidRDefault="002D0558" w:rsidP="002D0558">
      <w:pPr>
        <w:pStyle w:val="ACLAPTableText"/>
        <w:spacing w:before="0" w:after="120"/>
        <w:rPr>
          <w:sz w:val="22"/>
        </w:rPr>
      </w:pPr>
      <w:r w:rsidRPr="00C04660">
        <w:rPr>
          <w:sz w:val="22"/>
        </w:rPr>
        <w:t>Some class time is provided for research and support. Students have 2 weeks to complete the task.</w:t>
      </w:r>
    </w:p>
    <w:p w:rsidR="002D0558" w:rsidRPr="00C04660" w:rsidRDefault="002D0558" w:rsidP="002D0558">
      <w:pPr>
        <w:pStyle w:val="ACLAPTableText"/>
        <w:spacing w:before="0" w:after="120"/>
        <w:rPr>
          <w:sz w:val="22"/>
        </w:rPr>
      </w:pPr>
      <w:r w:rsidRPr="00C04660">
        <w:rPr>
          <w:sz w:val="22"/>
        </w:rPr>
        <w:t xml:space="preserve">Students submit one draft for feedback. </w:t>
      </w:r>
    </w:p>
    <w:p w:rsidR="002D0558" w:rsidRPr="00C04660" w:rsidRDefault="002D0558" w:rsidP="002D0558">
      <w:pPr>
        <w:spacing w:after="120"/>
        <w:rPr>
          <w:rFonts w:ascii="Arial" w:hAnsi="Arial" w:cs="Arial"/>
        </w:rPr>
      </w:pPr>
      <w:r w:rsidRPr="00C04660">
        <w:rPr>
          <w:rFonts w:ascii="Arial" w:hAnsi="Arial" w:cs="Arial"/>
        </w:rPr>
        <w:t xml:space="preserve">Word Count: maximum of 1000 words or 6 minutes for an oral presentation. </w:t>
      </w:r>
    </w:p>
    <w:p w:rsidR="00651ED4" w:rsidRPr="00C04660" w:rsidRDefault="00651ED4" w:rsidP="000F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0"/>
          <w:szCs w:val="16"/>
        </w:rPr>
      </w:pPr>
    </w:p>
    <w:p w:rsidR="0047174E" w:rsidRDefault="0047174E" w:rsidP="000F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A28" w:rsidRDefault="004B7A28" w:rsidP="004B7A28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Draft due date:</w:t>
      </w:r>
      <w:r>
        <w:rPr>
          <w:rFonts w:ascii="Arial" w:hAnsi="Arial" w:cs="Arial"/>
        </w:rPr>
        <w:tab/>
      </w:r>
    </w:p>
    <w:p w:rsidR="004B7A28" w:rsidRDefault="004B7A28" w:rsidP="004B7A28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A28" w:rsidRDefault="004B7A28" w:rsidP="004B7A28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</w:p>
    <w:p w:rsidR="004B7A28" w:rsidRDefault="004B7A28" w:rsidP="004B7A28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A28" w:rsidRPr="0047174E" w:rsidRDefault="004B7A28" w:rsidP="004B7A28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B7A28" w:rsidRPr="0047174E" w:rsidSect="00193E77">
          <w:headerReference w:type="first" r:id="rId9"/>
          <w:footerReference w:type="first" r:id="rId10"/>
          <w:pgSz w:w="11906" w:h="16838"/>
          <w:pgMar w:top="1134" w:right="1474" w:bottom="1021" w:left="1474" w:header="708" w:footer="708" w:gutter="0"/>
          <w:cols w:space="708"/>
          <w:titlePg/>
          <w:docGrid w:linePitch="360"/>
        </w:sectPr>
      </w:pPr>
    </w:p>
    <w:p w:rsidR="00D23716" w:rsidRPr="001E29B2" w:rsidRDefault="00D23716" w:rsidP="00D23716">
      <w:pPr>
        <w:spacing w:after="120"/>
        <w:rPr>
          <w:rFonts w:ascii="Arial" w:hAnsi="Arial" w:cs="Arial"/>
          <w:b/>
          <w:sz w:val="24"/>
          <w:szCs w:val="24"/>
        </w:rPr>
      </w:pPr>
      <w:r w:rsidRPr="001E29B2">
        <w:rPr>
          <w:rFonts w:ascii="Arial" w:hAnsi="Arial" w:cs="Arial"/>
          <w:b/>
          <w:sz w:val="24"/>
          <w:szCs w:val="24"/>
        </w:rPr>
        <w:lastRenderedPageBreak/>
        <w:t>Performance Standards for Stage 1 Agriculture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2410"/>
        <w:gridCol w:w="2835"/>
        <w:gridCol w:w="2268"/>
        <w:gridCol w:w="2693"/>
      </w:tblGrid>
      <w:tr w:rsidR="00D23716" w:rsidRPr="00D23716" w:rsidTr="001E29B2">
        <w:trPr>
          <w:trHeight w:val="320"/>
        </w:trPr>
        <w:tc>
          <w:tcPr>
            <w:tcW w:w="2093" w:type="dxa"/>
            <w:gridSpan w:val="2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835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268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693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E</w:t>
            </w:r>
          </w:p>
        </w:tc>
      </w:tr>
      <w:tr w:rsidR="00D23716" w:rsidRPr="00D23716" w:rsidTr="001E29B2">
        <w:tc>
          <w:tcPr>
            <w:tcW w:w="1526" w:type="dxa"/>
            <w:tcBorders>
              <w:right w:val="nil"/>
            </w:tcBorders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567" w:type="dxa"/>
            <w:tcBorders>
              <w:left w:val="nil"/>
            </w:tcBorders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1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3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logical, coherent, and detailed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Obtains records, and represents data, using appropriate conventions and formats accurately and highly effectively.</w:t>
            </w:r>
          </w:p>
          <w:p w:rsidR="00D23716" w:rsidRPr="00D23716" w:rsidRDefault="00D23716" w:rsidP="009D1D46">
            <w:pPr>
              <w:pStyle w:val="SOTableText"/>
              <w:spacing w:before="24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Systematically analyses and interprets data and evidence to formulate logical conclusions with detailed justification.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Critically and logically evaluates procedures and their effects on data.</w:t>
            </w:r>
          </w:p>
        </w:tc>
        <w:tc>
          <w:tcPr>
            <w:tcW w:w="2410" w:type="dxa"/>
          </w:tcPr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well-considered and clear agricultural investigation.</w:t>
            </w:r>
          </w:p>
          <w:p w:rsidR="00D23716" w:rsidRPr="00D23716" w:rsidRDefault="00D23716" w:rsidP="009D1D46">
            <w:pPr>
              <w:pStyle w:val="SOTableText"/>
              <w:spacing w:after="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6D0309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appropriate conventions and formats mostly accurately and effectively.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Logically analyses and interprets data and evidence to formulate suitable conclusions with reasonable justification.</w:t>
            </w:r>
          </w:p>
          <w:p w:rsidR="00D23716" w:rsidRPr="00D23716" w:rsidRDefault="00D23716" w:rsidP="009D1D46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Logically evaluates procedures and their effects on data.</w:t>
            </w:r>
          </w:p>
        </w:tc>
        <w:tc>
          <w:tcPr>
            <w:tcW w:w="2835" w:type="dxa"/>
          </w:tcPr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considered and generally clear agricultural investigation.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6D0309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generally appropriate conventions and formats with some errors but generally accurately and effectively.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Undertakes some analysis and interpretation of data and evidence to formulate generally appropriate conclusions with some justification.</w:t>
            </w:r>
          </w:p>
          <w:p w:rsidR="00D23716" w:rsidRPr="00D23716" w:rsidRDefault="00D23716" w:rsidP="009D1D46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Evaluates procedures and some of their effects on data.</w:t>
            </w:r>
          </w:p>
        </w:tc>
        <w:tc>
          <w:tcPr>
            <w:tcW w:w="2268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Prepares the outline of an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6D0309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conventions and formats inconsistently, with occasional accuracy and effectiveness.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Describes data and undertakes some basic interpretation to formulate a basic conclusion.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Attempts to evaluate procedures or suggest an effect on data.</w:t>
            </w:r>
          </w:p>
        </w:tc>
        <w:tc>
          <w:tcPr>
            <w:tcW w:w="2693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Identifies a simple procedure for an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Attempts to record and </w:t>
            </w:r>
            <w:r w:rsidR="006D0309">
              <w:rPr>
                <w:rFonts w:cs="Arial"/>
                <w:color w:val="BFBFBF" w:themeColor="background1" w:themeShade="BF"/>
                <w:sz w:val="17"/>
                <w:szCs w:val="17"/>
              </w:rPr>
              <w:t>represent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 some </w:t>
            </w:r>
            <w:r w:rsidR="006D0309">
              <w:rPr>
                <w:rFonts w:cs="Arial"/>
                <w:color w:val="BFBFBF" w:themeColor="background1" w:themeShade="BF"/>
                <w:sz w:val="17"/>
                <w:szCs w:val="17"/>
              </w:rPr>
              <w:t>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with limited accuracy or effectiveness.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Attempts to describe results and/or interpret data to formulate a basic conclusion.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Acknowledges that procedures affect data.</w:t>
            </w:r>
          </w:p>
        </w:tc>
        <w:bookmarkStart w:id="0" w:name="_GoBack"/>
        <w:bookmarkEnd w:id="0"/>
      </w:tr>
      <w:tr w:rsidR="00D23716" w:rsidRPr="00D23716" w:rsidTr="001E29B2">
        <w:tc>
          <w:tcPr>
            <w:tcW w:w="1526" w:type="dxa"/>
            <w:tcBorders>
              <w:right w:val="nil"/>
            </w:tcBorders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567" w:type="dxa"/>
            <w:tcBorders>
              <w:left w:val="nil"/>
            </w:tcBorders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1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3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4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deep and broad knowledge and understanding of a range of agricultural concepts and practices.</w:t>
            </w:r>
          </w:p>
          <w:p w:rsidR="00D23716" w:rsidRPr="00D23716" w:rsidRDefault="00D23716" w:rsidP="009D1D46">
            <w:pPr>
              <w:spacing w:before="12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 xml:space="preserve">Develops and applies agricultural concepts, skills, and practices highly effectively in new and familiar contexts. </w:t>
            </w:r>
          </w:p>
          <w:p w:rsidR="00D23716" w:rsidRPr="00D23716" w:rsidRDefault="00D23716" w:rsidP="009D1D46">
            <w:pPr>
              <w:pStyle w:val="SOTableText"/>
              <w:spacing w:before="24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Critically explores and understands in depth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coherently with highly effective use of appropriate terms, conventions and representations.</w:t>
            </w:r>
          </w:p>
        </w:tc>
        <w:tc>
          <w:tcPr>
            <w:tcW w:w="2410" w:type="dxa"/>
          </w:tcPr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 xml:space="preserve">Demonstrates some depth and breadth of knowledge and understanding of a range of agricultural concepts and practices. </w:t>
            </w:r>
          </w:p>
          <w:p w:rsidR="00D23716" w:rsidRPr="00D23716" w:rsidRDefault="00D23716" w:rsidP="009D1D46">
            <w:pPr>
              <w:spacing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mostly effectively in new and familiar contexts.</w:t>
            </w:r>
          </w:p>
          <w:p w:rsidR="00D23716" w:rsidRPr="00D23716" w:rsidRDefault="00D23716" w:rsidP="009D1D46">
            <w:pPr>
              <w:pStyle w:val="SOTableText"/>
              <w:spacing w:before="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Logically explores and understands in some depth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mostly coherently with effective use of appropriate terms, conventions, and representations.</w:t>
            </w:r>
          </w:p>
        </w:tc>
        <w:tc>
          <w:tcPr>
            <w:tcW w:w="2835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knowledge and understanding of a general range of agricultural concepts and practices.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generally effectively in new or familiar contexts.</w:t>
            </w:r>
          </w:p>
          <w:p w:rsidR="00D23716" w:rsidRPr="00D23716" w:rsidRDefault="00D23716" w:rsidP="009D1D46">
            <w:pPr>
              <w:pStyle w:val="SOTableText"/>
              <w:spacing w:before="24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Explores and understands aspects of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before="24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268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some basic knowledge and partial understanding of agricultural concepts and practices.</w:t>
            </w:r>
          </w:p>
          <w:p w:rsidR="00D23716" w:rsidRPr="00D23716" w:rsidRDefault="00D23716" w:rsidP="009D1D46">
            <w:pPr>
              <w:spacing w:before="8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basic agricultural concepts, skills, and practices in familiar contexts.</w:t>
            </w:r>
          </w:p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Partially explores and recognises aspects of the interaction between agricultural science and society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693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some limited recognition and awareness of agricultural concepts and practices.</w:t>
            </w:r>
          </w:p>
          <w:p w:rsidR="00D23716" w:rsidRPr="00D23716" w:rsidRDefault="00D23716" w:rsidP="009D1D46">
            <w:pPr>
              <w:spacing w:before="6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Attempts to develop and apply one or more basic agricultural concepts, skills, and/or practices in familiar contexts.</w:t>
            </w:r>
          </w:p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Attempts to explore and identify an aspect of the interaction between agricultural science and society.</w:t>
            </w:r>
          </w:p>
          <w:p w:rsidR="00D23716" w:rsidRPr="00D23716" w:rsidRDefault="00D23716" w:rsidP="009D1D46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Attempts to communicate information about agriculture.</w:t>
            </w:r>
          </w:p>
        </w:tc>
      </w:tr>
    </w:tbl>
    <w:p w:rsidR="00D23716" w:rsidRPr="001E29B2" w:rsidRDefault="00D23716" w:rsidP="001E29B2">
      <w:pPr>
        <w:rPr>
          <w:rFonts w:cs="Arial"/>
          <w:sz w:val="4"/>
          <w:szCs w:val="4"/>
        </w:rPr>
      </w:pPr>
    </w:p>
    <w:sectPr w:rsidR="00D23716" w:rsidRPr="001E29B2" w:rsidSect="00D23716">
      <w:headerReference w:type="first" r:id="rId11"/>
      <w:footerReference w:type="first" r:id="rId12"/>
      <w:pgSz w:w="16838" w:h="11906" w:orient="landscape"/>
      <w:pgMar w:top="1134" w:right="1474" w:bottom="1021" w:left="14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25" w:rsidRDefault="00347D25" w:rsidP="00193E77">
      <w:pPr>
        <w:spacing w:after="0" w:line="240" w:lineRule="auto"/>
      </w:pPr>
      <w:r>
        <w:separator/>
      </w:r>
    </w:p>
  </w:endnote>
  <w:endnote w:type="continuationSeparator" w:id="0">
    <w:p w:rsidR="00347D25" w:rsidRDefault="00347D25" w:rsidP="0019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B2" w:rsidRDefault="001E29B2" w:rsidP="001E29B2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proofErr w:type="gramStart"/>
    <w:r>
      <w:t xml:space="preserve">Agriculture </w:t>
    </w:r>
    <w:r>
      <w:t xml:space="preserve"> </w:t>
    </w:r>
    <w:r w:rsidRPr="001E29B2">
      <w:t>–</w:t>
    </w:r>
    <w:proofErr w:type="gramEnd"/>
    <w:r w:rsidRPr="001E29B2">
      <w:t xml:space="preserve"> AT1 – </w:t>
    </w:r>
    <w:r>
      <w:t>Task 4 – SHE task</w:t>
    </w:r>
    <w:r>
      <w:t xml:space="preserve">  (for use from 2017)</w:t>
    </w:r>
  </w:p>
  <w:p w:rsidR="001E29B2" w:rsidRDefault="001E29B2" w:rsidP="001E29B2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A563709</w:t>
    </w:r>
    <w:r w:rsidRPr="00BE6767">
      <w:fldChar w:fldCharType="end"/>
    </w:r>
    <w:r>
      <w:t xml:space="preserve"> (created November 2016)</w:t>
    </w:r>
  </w:p>
  <w:p w:rsidR="001E29B2" w:rsidRPr="007544D2" w:rsidRDefault="001E29B2" w:rsidP="001E29B2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1E29B2" w:rsidRDefault="001E2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B2" w:rsidRDefault="001E29B2" w:rsidP="001E29B2">
    <w:pPr>
      <w:pStyle w:val="RPFooter"/>
      <w:tabs>
        <w:tab w:val="clear" w:pos="9540"/>
        <w:tab w:val="clear" w:pos="11340"/>
        <w:tab w:val="clear" w:pos="14459"/>
        <w:tab w:val="right" w:pos="1375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proofErr w:type="gramStart"/>
    <w:r>
      <w:t xml:space="preserve">Agriculture </w:t>
    </w:r>
    <w:r>
      <w:t xml:space="preserve"> </w:t>
    </w:r>
    <w:r w:rsidRPr="001E29B2">
      <w:t>–</w:t>
    </w:r>
    <w:proofErr w:type="gramEnd"/>
    <w:r w:rsidRPr="001E29B2">
      <w:t xml:space="preserve"> AT1 – </w:t>
    </w:r>
    <w:r>
      <w:t>Task 4 – SHE task</w:t>
    </w:r>
    <w:r>
      <w:t xml:space="preserve">  (for use from 2017)</w:t>
    </w:r>
  </w:p>
  <w:p w:rsidR="001E29B2" w:rsidRDefault="001E29B2" w:rsidP="001E29B2">
    <w:pPr>
      <w:pStyle w:val="RPFooter"/>
      <w:tabs>
        <w:tab w:val="clear" w:pos="9540"/>
        <w:tab w:val="clear" w:pos="11340"/>
        <w:tab w:val="clear" w:pos="14459"/>
        <w:tab w:val="right" w:pos="13750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A563709</w:t>
    </w:r>
    <w:r w:rsidRPr="00BE6767">
      <w:fldChar w:fldCharType="end"/>
    </w:r>
    <w:r>
      <w:t xml:space="preserve"> (created November 2016)</w:t>
    </w:r>
  </w:p>
  <w:p w:rsidR="001E29B2" w:rsidRPr="007544D2" w:rsidRDefault="001E29B2" w:rsidP="001E29B2">
    <w:pPr>
      <w:pStyle w:val="RPFooter"/>
      <w:tabs>
        <w:tab w:val="clear" w:pos="9540"/>
        <w:tab w:val="clear" w:pos="11340"/>
        <w:tab w:val="clear" w:pos="14459"/>
        <w:tab w:val="right" w:pos="13750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1E29B2" w:rsidRDefault="001E2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25" w:rsidRDefault="00347D25" w:rsidP="00193E77">
      <w:pPr>
        <w:spacing w:after="0" w:line="240" w:lineRule="auto"/>
      </w:pPr>
      <w:r>
        <w:separator/>
      </w:r>
    </w:p>
  </w:footnote>
  <w:footnote w:type="continuationSeparator" w:id="0">
    <w:p w:rsidR="00347D25" w:rsidRDefault="00347D25" w:rsidP="0019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7" w:rsidRPr="00E03021" w:rsidRDefault="00193E77" w:rsidP="00193E77">
    <w:pPr>
      <w:pStyle w:val="Heading2"/>
      <w:tabs>
        <w:tab w:val="right" w:pos="8931"/>
      </w:tabs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 xml:space="preserve">Stage 1 </w:t>
    </w:r>
    <w:r>
      <w:rPr>
        <w:rFonts w:ascii="Arial" w:hAnsi="Arial" w:cs="Arial"/>
        <w:sz w:val="22"/>
        <w:szCs w:val="28"/>
      </w:rPr>
      <w:t>Agriculture</w:t>
    </w:r>
    <w:r>
      <w:rPr>
        <w:rFonts w:ascii="Arial" w:hAnsi="Arial" w:cs="Arial"/>
        <w:sz w:val="22"/>
        <w:szCs w:val="28"/>
      </w:rPr>
      <w:tab/>
    </w:r>
    <w:r w:rsidR="00552128">
      <w:rPr>
        <w:rFonts w:ascii="Arial" w:hAnsi="Arial" w:cs="Arial"/>
        <w:sz w:val="22"/>
        <w:szCs w:val="28"/>
      </w:rPr>
      <w:t xml:space="preserve">AT1: </w:t>
    </w:r>
    <w:r>
      <w:rPr>
        <w:rFonts w:ascii="Arial" w:hAnsi="Arial" w:cs="Arial"/>
        <w:sz w:val="22"/>
        <w:szCs w:val="28"/>
      </w:rPr>
      <w:t xml:space="preserve">SHE Agricultural </w:t>
    </w:r>
    <w:r w:rsidR="006D0309">
      <w:rPr>
        <w:rFonts w:ascii="Arial" w:hAnsi="Arial" w:cs="Arial"/>
        <w:sz w:val="22"/>
        <w:szCs w:val="28"/>
      </w:rPr>
      <w:t>Reports</w:t>
    </w:r>
    <w:r w:rsidRPr="00E03021">
      <w:rPr>
        <w:rFonts w:ascii="Arial" w:hAnsi="Arial" w:cs="Arial"/>
        <w:sz w:val="22"/>
        <w:szCs w:val="28"/>
      </w:rPr>
      <w:t xml:space="preserve"> </w:t>
    </w:r>
  </w:p>
  <w:p w:rsidR="00193E77" w:rsidRDefault="00193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6" w:rsidRDefault="00D23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777"/>
    <w:multiLevelType w:val="hybridMultilevel"/>
    <w:tmpl w:val="FE9424D0"/>
    <w:lvl w:ilvl="0" w:tplc="933039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2385C"/>
    <w:multiLevelType w:val="hybridMultilevel"/>
    <w:tmpl w:val="D14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66EB"/>
    <w:multiLevelType w:val="hybridMultilevel"/>
    <w:tmpl w:val="4A867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A47A6"/>
    <w:multiLevelType w:val="hybridMultilevel"/>
    <w:tmpl w:val="441E9498"/>
    <w:lvl w:ilvl="0" w:tplc="9BD85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83BD2"/>
    <w:multiLevelType w:val="hybridMultilevel"/>
    <w:tmpl w:val="447EE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1D0358"/>
    <w:multiLevelType w:val="hybridMultilevel"/>
    <w:tmpl w:val="F05CBCB2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8091043"/>
    <w:multiLevelType w:val="hybridMultilevel"/>
    <w:tmpl w:val="0146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C91D86"/>
    <w:multiLevelType w:val="hybridMultilevel"/>
    <w:tmpl w:val="9918C3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E133673"/>
    <w:multiLevelType w:val="hybridMultilevel"/>
    <w:tmpl w:val="23E2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16870"/>
    <w:multiLevelType w:val="hybridMultilevel"/>
    <w:tmpl w:val="E2124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E3E0F"/>
    <w:multiLevelType w:val="hybridMultilevel"/>
    <w:tmpl w:val="FF6C7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AA"/>
    <w:rsid w:val="00037A29"/>
    <w:rsid w:val="000F2A66"/>
    <w:rsid w:val="001526F1"/>
    <w:rsid w:val="00193E77"/>
    <w:rsid w:val="00195931"/>
    <w:rsid w:val="001C19DC"/>
    <w:rsid w:val="001E29B2"/>
    <w:rsid w:val="001F4BA9"/>
    <w:rsid w:val="0022671E"/>
    <w:rsid w:val="00233C07"/>
    <w:rsid w:val="00284EAA"/>
    <w:rsid w:val="002D0558"/>
    <w:rsid w:val="002E0740"/>
    <w:rsid w:val="00347D25"/>
    <w:rsid w:val="003A5B9F"/>
    <w:rsid w:val="00424CFE"/>
    <w:rsid w:val="0047174E"/>
    <w:rsid w:val="004B7A28"/>
    <w:rsid w:val="00552128"/>
    <w:rsid w:val="005C0AF0"/>
    <w:rsid w:val="0064386E"/>
    <w:rsid w:val="00651ED4"/>
    <w:rsid w:val="00680119"/>
    <w:rsid w:val="00681801"/>
    <w:rsid w:val="006D0309"/>
    <w:rsid w:val="007B2D67"/>
    <w:rsid w:val="0083628C"/>
    <w:rsid w:val="00896AA1"/>
    <w:rsid w:val="00B0435A"/>
    <w:rsid w:val="00B513A4"/>
    <w:rsid w:val="00C04660"/>
    <w:rsid w:val="00C3253A"/>
    <w:rsid w:val="00C50CAE"/>
    <w:rsid w:val="00C863B0"/>
    <w:rsid w:val="00D1255E"/>
    <w:rsid w:val="00D23716"/>
    <w:rsid w:val="00D60088"/>
    <w:rsid w:val="00DE74F7"/>
    <w:rsid w:val="00E12BC5"/>
    <w:rsid w:val="00E33E6C"/>
    <w:rsid w:val="00EA2303"/>
    <w:rsid w:val="00F1559F"/>
    <w:rsid w:val="00F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customStyle="1" w:styleId="Default">
    <w:name w:val="Default"/>
    <w:rsid w:val="00E33E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77"/>
  </w:style>
  <w:style w:type="paragraph" w:styleId="Footer">
    <w:name w:val="footer"/>
    <w:basedOn w:val="Normal"/>
    <w:link w:val="Foot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77"/>
  </w:style>
  <w:style w:type="character" w:customStyle="1" w:styleId="Heading2Char">
    <w:name w:val="Heading 2 Char"/>
    <w:basedOn w:val="DefaultParagraphFont"/>
    <w:link w:val="Heading2"/>
    <w:uiPriority w:val="9"/>
    <w:rsid w:val="00193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23716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23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FE"/>
    <w:rPr>
      <w:rFonts w:ascii="Tahoma" w:hAnsi="Tahoma" w:cs="Tahoma"/>
      <w:sz w:val="16"/>
      <w:szCs w:val="16"/>
    </w:rPr>
  </w:style>
  <w:style w:type="paragraph" w:customStyle="1" w:styleId="ACLAPTableText">
    <w:name w:val="AC LAP Table Text"/>
    <w:qFormat/>
    <w:rsid w:val="002D0558"/>
    <w:pPr>
      <w:spacing w:before="40" w:after="4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ory-paragraph">
    <w:name w:val="story-paragraph"/>
    <w:basedOn w:val="Normal"/>
    <w:rsid w:val="003A5B9F"/>
    <w:pPr>
      <w:spacing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RPFooter">
    <w:name w:val="RP Footer"/>
    <w:basedOn w:val="Footer"/>
    <w:rsid w:val="001E29B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customStyle="1" w:styleId="Default">
    <w:name w:val="Default"/>
    <w:rsid w:val="00E33E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77"/>
  </w:style>
  <w:style w:type="paragraph" w:styleId="Footer">
    <w:name w:val="footer"/>
    <w:basedOn w:val="Normal"/>
    <w:link w:val="Foot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77"/>
  </w:style>
  <w:style w:type="character" w:customStyle="1" w:styleId="Heading2Char">
    <w:name w:val="Heading 2 Char"/>
    <w:basedOn w:val="DefaultParagraphFont"/>
    <w:link w:val="Heading2"/>
    <w:uiPriority w:val="9"/>
    <w:rsid w:val="00193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23716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23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FE"/>
    <w:rPr>
      <w:rFonts w:ascii="Tahoma" w:hAnsi="Tahoma" w:cs="Tahoma"/>
      <w:sz w:val="16"/>
      <w:szCs w:val="16"/>
    </w:rPr>
  </w:style>
  <w:style w:type="paragraph" w:customStyle="1" w:styleId="ACLAPTableText">
    <w:name w:val="AC LAP Table Text"/>
    <w:qFormat/>
    <w:rsid w:val="002D0558"/>
    <w:pPr>
      <w:spacing w:before="40" w:after="4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ory-paragraph">
    <w:name w:val="story-paragraph"/>
    <w:basedOn w:val="Normal"/>
    <w:rsid w:val="003A5B9F"/>
    <w:pPr>
      <w:spacing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RPFooter">
    <w:name w:val="RP Footer"/>
    <w:basedOn w:val="Footer"/>
    <w:rsid w:val="001E29B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3DC2-6F03-49E1-8AA9-BAD10758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foguser</dc:creator>
  <cp:lastModifiedBy> </cp:lastModifiedBy>
  <cp:revision>6</cp:revision>
  <cp:lastPrinted>2016-07-26T06:01:00Z</cp:lastPrinted>
  <dcterms:created xsi:type="dcterms:W3CDTF">2016-09-02T05:39:00Z</dcterms:created>
  <dcterms:modified xsi:type="dcterms:W3CDTF">2016-11-08T23:59:00Z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A563709</vt:lpwstr>
  </property>
  <property fmtid="{D5CDD505-2E9C-101B-9397-08002B2CF9AE}" pid="4" name="Objective-Title">
    <vt:lpwstr>Stage 1 AT1 - Task 4 - SHE task</vt:lpwstr>
  </property>
  <property fmtid="{D5CDD505-2E9C-101B-9397-08002B2CF9AE}" pid="5" name="Objective-Comment">
    <vt:lpwstr/>
  </property>
  <property fmtid="{D5CDD505-2E9C-101B-9397-08002B2CF9AE}" pid="6" name="Objective-CreationStamp">
    <vt:filetime>2016-09-02T05:16:59Z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2016-11-08T23:57:47Z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