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44" w:rsidRPr="00F66744" w:rsidRDefault="001E0A92" w:rsidP="00AE5A8A">
      <w:pPr>
        <w:pStyle w:val="LAPHeading1"/>
      </w:pPr>
      <w:r w:rsidRPr="0027216E">
        <w:t xml:space="preserve">PRE-APPROVED </w:t>
      </w:r>
      <w:r w:rsidR="00E4694F" w:rsidRPr="0027216E">
        <w:t>L</w:t>
      </w:r>
      <w:r w:rsidR="00F66744" w:rsidRPr="0027216E">
        <w:t>EARNING AND ASSESSMENT PLAN</w:t>
      </w:r>
    </w:p>
    <w:p w:rsidR="00F66744" w:rsidRDefault="00E7565A" w:rsidP="00AE5A8A">
      <w:pPr>
        <w:pStyle w:val="LAPHeading2"/>
      </w:pPr>
      <w:r>
        <w:t>Stage 1</w:t>
      </w:r>
      <w:r w:rsidR="00683364">
        <w:t xml:space="preserve"> Essential</w:t>
      </w:r>
      <w:r w:rsidR="00F66744" w:rsidRPr="00F66744">
        <w:t xml:space="preserve"> </w:t>
      </w:r>
      <w:r w:rsidR="00164004">
        <w:t>English</w:t>
      </w:r>
    </w:p>
    <w:p w:rsidR="007A24DD" w:rsidRPr="000B02FA" w:rsidRDefault="007A24DD" w:rsidP="00AE5A8A">
      <w:pPr>
        <w:pStyle w:val="LAPBodyText"/>
      </w:pPr>
      <w:r w:rsidRPr="000B02FA">
        <w:t xml:space="preserve">Pre-approved learning and assessment plans are for </w:t>
      </w:r>
      <w:r w:rsidRPr="00A276C4">
        <w:rPr>
          <w:i/>
          <w:iCs/>
        </w:rPr>
        <w:t>school use only</w:t>
      </w:r>
      <w:r w:rsidR="00AE5A8A">
        <w:t>.</w:t>
      </w:r>
    </w:p>
    <w:p w:rsidR="007A24DD" w:rsidRPr="000B02FA" w:rsidRDefault="007A24DD" w:rsidP="00AE5A8A">
      <w:pPr>
        <w:pStyle w:val="LAPBullet"/>
      </w:pPr>
      <w:r w:rsidRPr="000B02FA">
        <w:t>Teachers may make changes to the plan, retaining align</w:t>
      </w:r>
      <w:r w:rsidR="00AE5A8A">
        <w:t xml:space="preserve">ment with the subject outline. </w:t>
      </w:r>
    </w:p>
    <w:p w:rsidR="007A24DD" w:rsidRPr="000B02FA" w:rsidRDefault="007A24DD" w:rsidP="00AE5A8A">
      <w:pPr>
        <w:pStyle w:val="LAPBullet"/>
      </w:pPr>
      <w:r w:rsidRPr="000B02FA">
        <w:t>The principal or delegate endorses the use of the plan, and any changes made to it, including use of an addendum.</w:t>
      </w:r>
    </w:p>
    <w:p w:rsidR="007A24DD" w:rsidRPr="000B02FA" w:rsidRDefault="007A24DD" w:rsidP="00AE5A8A">
      <w:pPr>
        <w:pStyle w:val="LAPBullet"/>
      </w:pPr>
      <w:r w:rsidRPr="000B02FA">
        <w:t xml:space="preserve">The plan does not need to be submitted </w:t>
      </w:r>
      <w:r w:rsidR="00AE5A8A">
        <w:t>to the SACE Board for approval.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7A24DD" w:rsidRPr="000B02FA" w:rsidTr="00A457D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7A24DD" w:rsidRPr="000B02FA" w:rsidRDefault="007A24DD" w:rsidP="007408E5">
            <w:pPr>
              <w:pStyle w:val="LAPTableText"/>
            </w:pPr>
            <w:r w:rsidRPr="000B02FA"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DD" w:rsidRPr="000B02FA" w:rsidRDefault="007A24DD" w:rsidP="007408E5">
            <w:pPr>
              <w:pStyle w:val="LAPTableText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A24DD" w:rsidRPr="000B02FA" w:rsidRDefault="007A24DD" w:rsidP="007408E5">
            <w:pPr>
              <w:pStyle w:val="LAPTableText"/>
            </w:pPr>
            <w:r w:rsidRPr="000B02FA"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DD" w:rsidRPr="000B02FA" w:rsidRDefault="007A24DD" w:rsidP="007408E5">
            <w:pPr>
              <w:pStyle w:val="LAPTableText"/>
            </w:pPr>
          </w:p>
        </w:tc>
      </w:tr>
    </w:tbl>
    <w:p w:rsidR="007A24DD" w:rsidRPr="00F66744" w:rsidRDefault="007A24DD" w:rsidP="00A276C4">
      <w:pPr>
        <w:pStyle w:val="LAPTableText"/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7A24DD" w:rsidRPr="00F66744" w:rsidTr="00A457D9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7A24DD" w:rsidRPr="003B2B0E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7A24DD" w:rsidRPr="00F66744" w:rsidTr="00A457D9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7A24DD" w:rsidRPr="003B2B0E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24DD" w:rsidRPr="003B2B0E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A24DD" w:rsidRPr="00F66744" w:rsidTr="00A457D9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A24DD" w:rsidRPr="00F66744" w:rsidRDefault="00377DEC" w:rsidP="00A457D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A24DD" w:rsidRPr="00F66744" w:rsidRDefault="00377DEC" w:rsidP="00A457D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A24DD" w:rsidRPr="003B2B0E" w:rsidRDefault="00377DEC" w:rsidP="00A457D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24DD" w:rsidRPr="003B2B0E" w:rsidRDefault="007A24DD" w:rsidP="00A457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A24DD" w:rsidRPr="00F66744" w:rsidRDefault="007A24DD" w:rsidP="00A457D9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A24DD" w:rsidRPr="00F66744" w:rsidRDefault="007A24DD" w:rsidP="00A457D9">
            <w:pPr>
              <w:jc w:val="center"/>
              <w:rPr>
                <w:b/>
              </w:rPr>
            </w:pPr>
          </w:p>
        </w:tc>
      </w:tr>
    </w:tbl>
    <w:p w:rsidR="007A24DD" w:rsidRDefault="007A24DD" w:rsidP="007A24DD"/>
    <w:p w:rsidR="007A24DD" w:rsidRPr="001C427B" w:rsidRDefault="007A24DD" w:rsidP="00134C8E">
      <w:pPr>
        <w:pStyle w:val="LAPHeading3"/>
      </w:pPr>
      <w:r>
        <w:t>Addendum – c</w:t>
      </w:r>
      <w:r w:rsidRPr="001C427B">
        <w:t xml:space="preserve">hanges made to the </w:t>
      </w:r>
      <w:r>
        <w:t xml:space="preserve">pre-approved </w:t>
      </w:r>
      <w:r w:rsidRPr="001C427B"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A24DD" w:rsidRPr="004C6ABF" w:rsidTr="00A457D9">
        <w:trPr>
          <w:trHeight w:val="2581"/>
        </w:trPr>
        <w:tc>
          <w:tcPr>
            <w:tcW w:w="10206" w:type="dxa"/>
          </w:tcPr>
          <w:p w:rsidR="007A24DD" w:rsidRPr="00B562CF" w:rsidRDefault="007A24DD" w:rsidP="00A276C4">
            <w:pPr>
              <w:pStyle w:val="LAPTableText"/>
              <w:rPr>
                <w:sz w:val="18"/>
              </w:rPr>
            </w:pPr>
            <w:r w:rsidRPr="00B562CF">
              <w:rPr>
                <w:sz w:val="18"/>
              </w:rPr>
              <w:t>Describe any changes made to the pre-approved learning and assessment plan to support students to be successful in meeting the requirements of the subject. In your description, please explain:</w:t>
            </w:r>
          </w:p>
          <w:p w:rsidR="007A24DD" w:rsidRPr="00B562CF" w:rsidRDefault="007A24DD" w:rsidP="00A276C4">
            <w:pPr>
              <w:pStyle w:val="LAPTableBullets"/>
              <w:rPr>
                <w:sz w:val="18"/>
              </w:rPr>
            </w:pPr>
            <w:r w:rsidRPr="00B562CF">
              <w:rPr>
                <w:sz w:val="18"/>
              </w:rPr>
              <w:t>what changes have been made to the plan</w:t>
            </w:r>
          </w:p>
          <w:p w:rsidR="007A24DD" w:rsidRPr="00B562CF" w:rsidRDefault="007A24DD" w:rsidP="00A276C4">
            <w:pPr>
              <w:pStyle w:val="LAPTableBullets"/>
              <w:rPr>
                <w:sz w:val="18"/>
              </w:rPr>
            </w:pPr>
            <w:r w:rsidRPr="00B562CF">
              <w:rPr>
                <w:sz w:val="18"/>
              </w:rPr>
              <w:t>the rationale for making the changes</w:t>
            </w:r>
          </w:p>
          <w:p w:rsidR="007A24DD" w:rsidRPr="00B562CF" w:rsidRDefault="007A24DD" w:rsidP="00A276C4">
            <w:pPr>
              <w:pStyle w:val="LAPTableBullets"/>
              <w:rPr>
                <w:sz w:val="18"/>
              </w:rPr>
            </w:pPr>
            <w:proofErr w:type="gramStart"/>
            <w:r w:rsidRPr="00B562CF">
              <w:rPr>
                <w:sz w:val="18"/>
              </w:rPr>
              <w:t>whether</w:t>
            </w:r>
            <w:proofErr w:type="gramEnd"/>
            <w:r w:rsidRPr="00B562CF">
              <w:rPr>
                <w:sz w:val="18"/>
              </w:rPr>
              <w:t xml:space="preserve"> these changes have been made for all students, or for individuals within the student group.</w:t>
            </w: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Default="007A24DD" w:rsidP="00A276C4">
            <w:pPr>
              <w:pStyle w:val="LAPTableText"/>
            </w:pPr>
          </w:p>
          <w:p w:rsidR="007A24DD" w:rsidRPr="004C6ABF" w:rsidRDefault="007A24DD" w:rsidP="00A276C4">
            <w:pPr>
              <w:pStyle w:val="LAPTableText"/>
            </w:pPr>
          </w:p>
        </w:tc>
      </w:tr>
    </w:tbl>
    <w:p w:rsidR="007A24DD" w:rsidRPr="001C427B" w:rsidRDefault="007A24DD" w:rsidP="00134C8E">
      <w:pPr>
        <w:pStyle w:val="LAPHeading3"/>
      </w:pPr>
      <w:r>
        <w:t>E</w:t>
      </w:r>
      <w:r w:rsidR="004A1C93">
        <w:t>ndorsement</w:t>
      </w:r>
    </w:p>
    <w:p w:rsidR="007A24DD" w:rsidRPr="004C6ABF" w:rsidRDefault="007A24DD" w:rsidP="00A276C4">
      <w:pPr>
        <w:pStyle w:val="LAPBodyText"/>
      </w:pPr>
      <w:r w:rsidRPr="001C427B">
        <w:t xml:space="preserve">The use of the </w:t>
      </w:r>
      <w:r>
        <w:t xml:space="preserve">learning and assessment </w:t>
      </w:r>
      <w:r w:rsidRPr="001C427B">
        <w:t xml:space="preserve">plan is approved for use in the school. </w:t>
      </w:r>
      <w:r>
        <w:t>Any</w:t>
      </w:r>
      <w:r w:rsidRPr="004C6ABF">
        <w:t xml:space="preserve"> changes made to the </w:t>
      </w:r>
      <w:r>
        <w:t>plan</w:t>
      </w:r>
      <w:r w:rsidRPr="004C6ABF">
        <w:t xml:space="preserve"> support student achievement of the performance standards and retain alignment with the subject outline.</w:t>
      </w:r>
    </w:p>
    <w:p w:rsidR="007A24DD" w:rsidRPr="004C6ABF" w:rsidRDefault="007A24DD" w:rsidP="00A276C4">
      <w:pPr>
        <w:pStyle w:val="LAPBodyText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3969"/>
        <w:gridCol w:w="709"/>
        <w:gridCol w:w="1842"/>
      </w:tblGrid>
      <w:tr w:rsidR="007A24DD" w:rsidRPr="004C6ABF" w:rsidTr="00A276C4">
        <w:trPr>
          <w:trHeight w:hRule="exact" w:val="321"/>
        </w:trPr>
        <w:tc>
          <w:tcPr>
            <w:tcW w:w="3227" w:type="dxa"/>
            <w:shd w:val="clear" w:color="auto" w:fill="auto"/>
            <w:vAlign w:val="bottom"/>
          </w:tcPr>
          <w:p w:rsidR="007A24DD" w:rsidRPr="004C6ABF" w:rsidRDefault="007A24DD" w:rsidP="00A276C4">
            <w:pPr>
              <w:pStyle w:val="LAPTableText"/>
            </w:pPr>
            <w:r w:rsidRPr="004C6ABF">
              <w:t>Signature o</w:t>
            </w:r>
            <w:r>
              <w:t>f p</w:t>
            </w:r>
            <w:r w:rsidRPr="004C6ABF">
              <w:t xml:space="preserve">rincipal or </w:t>
            </w:r>
            <w:r>
              <w:t>delegate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DD" w:rsidRPr="004C6ABF" w:rsidRDefault="007A24DD" w:rsidP="00A457D9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A24DD" w:rsidRPr="004C6ABF" w:rsidRDefault="007A24DD" w:rsidP="00A276C4">
            <w:pPr>
              <w:pStyle w:val="LAPTableText"/>
            </w:pPr>
            <w:r w:rsidRPr="004C6ABF">
              <w:t>Date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DD" w:rsidRPr="004C6ABF" w:rsidRDefault="007A24DD" w:rsidP="00A457D9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AE5A8A">
          <w:headerReference w:type="first" r:id="rId9"/>
          <w:footerReference w:type="first" r:id="rId10"/>
          <w:pgSz w:w="11906" w:h="16838" w:code="237"/>
          <w:pgMar w:top="1474" w:right="1134" w:bottom="1134" w:left="1134" w:header="340" w:footer="340" w:gutter="0"/>
          <w:cols w:space="708"/>
          <w:formProt w:val="0"/>
          <w:titlePg/>
          <w:docGrid w:linePitch="360"/>
        </w:sectPr>
      </w:pPr>
    </w:p>
    <w:p w:rsidR="00683364" w:rsidRPr="00667EE2" w:rsidRDefault="00683364" w:rsidP="00683364">
      <w:pPr>
        <w:pStyle w:val="LAPHeading"/>
      </w:pPr>
      <w:r>
        <w:lastRenderedPageBreak/>
        <w:t>Stage 1 Essential English (10-c</w:t>
      </w:r>
      <w:r w:rsidRPr="00667EE2">
        <w:t>redits)</w:t>
      </w:r>
    </w:p>
    <w:p w:rsidR="00683364" w:rsidRPr="00667EE2" w:rsidRDefault="00683364" w:rsidP="00683364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683364" w:rsidRDefault="00683364" w:rsidP="00AE5A8A">
      <w:pPr>
        <w:pStyle w:val="LAPBodyText"/>
        <w:rPr>
          <w:lang w:val="en-US"/>
        </w:rPr>
      </w:pPr>
    </w:p>
    <w:p w:rsidR="00683364" w:rsidRPr="00667EE2" w:rsidRDefault="007A24DD" w:rsidP="00AE5A8A">
      <w:pPr>
        <w:pStyle w:val="LAPBodyText"/>
        <w:rPr>
          <w:lang w:val="en-US"/>
        </w:rPr>
      </w:pPr>
      <w:r>
        <w:rPr>
          <w:lang w:val="en-US"/>
        </w:rPr>
        <w:t>T</w:t>
      </w:r>
      <w:r w:rsidRPr="004963F3">
        <w:rPr>
          <w:lang w:val="en-US"/>
        </w:rPr>
        <w:t xml:space="preserve">he table below </w:t>
      </w:r>
      <w:r>
        <w:rPr>
          <w:lang w:val="en-US"/>
        </w:rPr>
        <w:t>provides</w:t>
      </w:r>
      <w:r w:rsidRPr="004963F3">
        <w:rPr>
          <w:lang w:val="en-US"/>
        </w:rPr>
        <w:t xml:space="preserve"> details of the planned tasks</w:t>
      </w:r>
      <w:r>
        <w:rPr>
          <w:lang w:val="en-US"/>
        </w:rPr>
        <w:t xml:space="preserve"> and shows where </w:t>
      </w:r>
      <w:r w:rsidRPr="004963F3">
        <w:rPr>
          <w:lang w:val="en-US"/>
        </w:rPr>
        <w:t xml:space="preserve">students have the opportunity to provide evidence for each </w:t>
      </w:r>
      <w:r>
        <w:rPr>
          <w:lang w:val="en-US"/>
        </w:rPr>
        <w:t>of the specific features of all of the</w:t>
      </w:r>
      <w:r w:rsidRPr="004963F3">
        <w:rPr>
          <w:lang w:val="en-US"/>
        </w:rPr>
        <w:t xml:space="preserve"> assessment design criteria.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  <w:gridCol w:w="590"/>
        <w:gridCol w:w="591"/>
        <w:gridCol w:w="590"/>
        <w:gridCol w:w="591"/>
        <w:gridCol w:w="3875"/>
      </w:tblGrid>
      <w:tr w:rsidR="00683364" w:rsidRPr="00667EE2" w:rsidTr="00B562CF">
        <w:trPr>
          <w:trHeight w:val="34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683364" w:rsidRPr="00667EE2" w:rsidRDefault="00683364" w:rsidP="00A276C4">
            <w:pPr>
              <w:pStyle w:val="LAPTableHeading1Centered"/>
              <w:rPr>
                <w:lang w:val="en-US"/>
              </w:rPr>
            </w:pPr>
            <w:r w:rsidRPr="00667EE2">
              <w:rPr>
                <w:lang w:val="en-US"/>
              </w:rPr>
              <w:t>Assessment Type and Weighting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683364" w:rsidRPr="00667EE2" w:rsidRDefault="00683364" w:rsidP="00A276C4">
            <w:pPr>
              <w:pStyle w:val="LAPTableHeading1Centered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67EE2">
              <w:rPr>
                <w:lang w:val="en-US"/>
              </w:rPr>
              <w:t>etails of assessment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:rsidR="00683364" w:rsidRPr="002535FD" w:rsidRDefault="00683364" w:rsidP="00A276C4">
            <w:pPr>
              <w:pStyle w:val="LAPTableHeading1Centered"/>
              <w:rPr>
                <w:rFonts w:eastAsia="SimSun"/>
                <w:lang w:val="en-US"/>
              </w:rPr>
            </w:pPr>
            <w:r w:rsidRPr="002535FD">
              <w:rPr>
                <w:rFonts w:eastAsia="SimSun"/>
                <w:lang w:val="en-US"/>
              </w:rPr>
              <w:t>Assessment Design Criteria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683364" w:rsidRPr="007408E5" w:rsidRDefault="00683364" w:rsidP="00A276C4">
            <w:pPr>
              <w:pStyle w:val="LAPTableHeading1Centered"/>
            </w:pPr>
            <w:r w:rsidRPr="00667EE2">
              <w:rPr>
                <w:lang w:val="en-US"/>
              </w:rPr>
              <w:t>Assessment conditions</w:t>
            </w:r>
          </w:p>
          <w:p w:rsidR="00683364" w:rsidRPr="00667EE2" w:rsidRDefault="00683364" w:rsidP="00A276C4">
            <w:pPr>
              <w:pStyle w:val="LAPTableText"/>
              <w:jc w:val="center"/>
              <w:rPr>
                <w:szCs w:val="20"/>
                <w:lang w:val="en-US"/>
              </w:rPr>
            </w:pPr>
            <w:r w:rsidRPr="00667EE2">
              <w:rPr>
                <w:szCs w:val="20"/>
                <w:lang w:val="en-US"/>
              </w:rPr>
              <w:t>(e.g. task type, word length, time allocated, supervision)</w:t>
            </w:r>
          </w:p>
        </w:tc>
      </w:tr>
      <w:tr w:rsidR="00683364" w:rsidRPr="00667EE2" w:rsidTr="00B562CF">
        <w:trPr>
          <w:trHeight w:val="345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683364" w:rsidRPr="00667EE2" w:rsidRDefault="00683364" w:rsidP="003D0B59">
            <w:pPr>
              <w:pStyle w:val="LAPTableText"/>
              <w:jc w:val="center"/>
            </w:pPr>
            <w:r w:rsidRPr="00667EE2">
              <w:t>C</w:t>
            </w:r>
          </w:p>
        </w:tc>
        <w:tc>
          <w:tcPr>
            <w:tcW w:w="591" w:type="dxa"/>
            <w:shd w:val="clear" w:color="auto" w:fill="auto"/>
          </w:tcPr>
          <w:p w:rsidR="00683364" w:rsidRPr="00667EE2" w:rsidRDefault="00683364" w:rsidP="003D0B59">
            <w:pPr>
              <w:pStyle w:val="LAPTableText"/>
              <w:jc w:val="center"/>
            </w:pPr>
            <w:proofErr w:type="spellStart"/>
            <w:r w:rsidRPr="00667EE2">
              <w:t>Cp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83364" w:rsidRPr="00667EE2" w:rsidRDefault="00683364" w:rsidP="003D0B59">
            <w:pPr>
              <w:pStyle w:val="LAPTableText"/>
              <w:jc w:val="center"/>
            </w:pPr>
            <w:r w:rsidRPr="00667EE2">
              <w:t>An</w:t>
            </w:r>
          </w:p>
        </w:tc>
        <w:tc>
          <w:tcPr>
            <w:tcW w:w="591" w:type="dxa"/>
            <w:shd w:val="clear" w:color="auto" w:fill="auto"/>
          </w:tcPr>
          <w:p w:rsidR="00683364" w:rsidRPr="00667EE2" w:rsidRDefault="00683364" w:rsidP="003D0B59">
            <w:pPr>
              <w:pStyle w:val="LAPTableText"/>
              <w:jc w:val="center"/>
            </w:pPr>
            <w:proofErr w:type="spellStart"/>
            <w:r w:rsidRPr="00667EE2">
              <w:t>Ap</w:t>
            </w:r>
            <w:proofErr w:type="spellEnd"/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683364" w:rsidRPr="00667EE2" w:rsidRDefault="00683364" w:rsidP="003D0B59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83364" w:rsidRPr="00667EE2" w:rsidTr="00B562CF">
        <w:trPr>
          <w:trHeight w:val="16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667EE2">
              <w:rPr>
                <w:rFonts w:cs="Arial"/>
                <w:b/>
                <w:bCs/>
                <w:sz w:val="20"/>
                <w:szCs w:val="20"/>
                <w:lang w:val="en-US"/>
              </w:rPr>
              <w:t>Responding to Texts</w:t>
            </w:r>
          </w:p>
          <w:p w:rsidR="00683364" w:rsidRPr="00667EE2" w:rsidRDefault="00683364" w:rsidP="00A276C4">
            <w:pPr>
              <w:pStyle w:val="LAPTableText"/>
              <w:jc w:val="center"/>
              <w:rPr>
                <w:bCs/>
                <w:szCs w:val="20"/>
                <w:lang w:val="en-US"/>
              </w:rPr>
            </w:pPr>
          </w:p>
          <w:p w:rsidR="00683364" w:rsidRPr="00667EE2" w:rsidRDefault="00683364" w:rsidP="00B562CF">
            <w:pPr>
              <w:pStyle w:val="LAPTableText"/>
              <w:jc w:val="center"/>
              <w:rPr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 xml:space="preserve">Weighting </w:t>
            </w:r>
            <w:r w:rsidR="00B562CF">
              <w:rPr>
                <w:bCs/>
                <w:szCs w:val="20"/>
                <w:lang w:val="en-US"/>
              </w:rPr>
              <w:t>7</w:t>
            </w:r>
            <w:r>
              <w:rPr>
                <w:bCs/>
                <w:szCs w:val="20"/>
                <w:lang w:val="en-US"/>
              </w:rPr>
              <w:t>5%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83364" w:rsidRPr="00B562CF" w:rsidRDefault="00683364" w:rsidP="00B562CF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The movie </w:t>
            </w:r>
            <w:r w:rsidRPr="00B562CF">
              <w:rPr>
                <w:i/>
                <w:sz w:val="18"/>
                <w:lang w:val="en-US"/>
              </w:rPr>
              <w:t xml:space="preserve">Transformers: Age of Extinction </w:t>
            </w:r>
            <w:r w:rsidRPr="00B562CF">
              <w:rPr>
                <w:sz w:val="18"/>
                <w:lang w:val="en-US"/>
              </w:rPr>
              <w:t>is controversial because of the amount of product placement (55 brands</w:t>
            </w:r>
            <w:bookmarkStart w:id="0" w:name="_GoBack"/>
            <w:bookmarkEnd w:id="0"/>
            <w:r w:rsidRPr="00B562CF">
              <w:rPr>
                <w:sz w:val="18"/>
                <w:lang w:val="en-US"/>
              </w:rPr>
              <w:t>) used in the movie (or any other movie that uses product placement e.g. The Lego Movie, Iron Man 2).</w:t>
            </w:r>
          </w:p>
          <w:p w:rsidR="00683364" w:rsidRPr="00B562CF" w:rsidRDefault="00683364" w:rsidP="00B562CF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Students watch the movie and examine the way product placement is used to advertise brands. In an oral presentation they </w:t>
            </w:r>
            <w:proofErr w:type="spellStart"/>
            <w:r w:rsidRPr="00B562CF">
              <w:rPr>
                <w:sz w:val="18"/>
                <w:lang w:val="en-US"/>
              </w:rPr>
              <w:t>analyse</w:t>
            </w:r>
            <w:proofErr w:type="spellEnd"/>
            <w:r w:rsidRPr="00B562CF">
              <w:rPr>
                <w:sz w:val="18"/>
                <w:lang w:val="en-US"/>
              </w:rPr>
              <w:t xml:space="preserve"> two or three specific examples of product placement in the film by explaining the purpose, placement and effectiveness of this on the audience.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>An oral response should be a maximum of 5 minutes; a response in multimodal form should be of equivalent length.</w:t>
            </w:r>
          </w:p>
        </w:tc>
      </w:tr>
      <w:tr w:rsidR="00683364" w:rsidRPr="00667EE2" w:rsidTr="00B562CF">
        <w:trPr>
          <w:trHeight w:val="1064"/>
        </w:trPr>
        <w:tc>
          <w:tcPr>
            <w:tcW w:w="1701" w:type="dxa"/>
            <w:vMerge/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683364" w:rsidRPr="00B562CF" w:rsidRDefault="00683364" w:rsidP="00B562CF">
            <w:pPr>
              <w:pStyle w:val="LAPTableText"/>
              <w:rPr>
                <w:sz w:val="18"/>
              </w:rPr>
            </w:pPr>
            <w:r w:rsidRPr="00B562CF">
              <w:rPr>
                <w:sz w:val="18"/>
              </w:rPr>
              <w:t xml:space="preserve">Students read a series of texts (e.g. programs, newspaper articles, reviews, travel brochures, advertisements) on a current event in Adelaide (e.g. Clipsal 500, Fringe, </w:t>
            </w:r>
            <w:proofErr w:type="spellStart"/>
            <w:proofErr w:type="gramStart"/>
            <w:r w:rsidRPr="00B562CF">
              <w:rPr>
                <w:sz w:val="18"/>
              </w:rPr>
              <w:t>Ozasia</w:t>
            </w:r>
            <w:proofErr w:type="spellEnd"/>
            <w:proofErr w:type="gramEnd"/>
            <w:r w:rsidRPr="00B562CF">
              <w:rPr>
                <w:sz w:val="18"/>
              </w:rPr>
              <w:t>). Students respond by writing a formal email to the editor of the Advertiser arguing for or against the event.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683364" w:rsidRPr="00B562CF" w:rsidRDefault="00683364" w:rsidP="007408E5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A written response up to a maximum of </w:t>
            </w:r>
            <w:r w:rsidR="007408E5" w:rsidRPr="00B562CF">
              <w:rPr>
                <w:sz w:val="18"/>
                <w:lang w:val="en-US"/>
              </w:rPr>
              <w:t>8</w:t>
            </w:r>
            <w:r w:rsidRPr="00B562CF">
              <w:rPr>
                <w:sz w:val="18"/>
                <w:lang w:val="en-US"/>
              </w:rPr>
              <w:t>00 words.</w:t>
            </w:r>
          </w:p>
        </w:tc>
      </w:tr>
      <w:tr w:rsidR="00683364" w:rsidRPr="00667EE2" w:rsidTr="00B562CF">
        <w:trPr>
          <w:trHeight w:val="658"/>
        </w:trPr>
        <w:tc>
          <w:tcPr>
            <w:tcW w:w="1701" w:type="dxa"/>
            <w:vMerge/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683364" w:rsidRPr="00B562CF" w:rsidRDefault="00683364" w:rsidP="00B562CF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Students watch an episode of the sitcom </w:t>
            </w:r>
            <w:r w:rsidRPr="00B562CF">
              <w:rPr>
                <w:i/>
                <w:sz w:val="18"/>
                <w:lang w:val="en-US"/>
              </w:rPr>
              <w:t>Fresh off the boat</w:t>
            </w:r>
            <w:r w:rsidRPr="00B562CF">
              <w:rPr>
                <w:sz w:val="18"/>
                <w:lang w:val="en-US"/>
              </w:rPr>
              <w:t>. In a written response students:</w:t>
            </w:r>
          </w:p>
          <w:p w:rsidR="00683364" w:rsidRPr="00B562CF" w:rsidRDefault="00683364" w:rsidP="00B562CF">
            <w:pPr>
              <w:pStyle w:val="LAPTableBullets"/>
              <w:rPr>
                <w:sz w:val="18"/>
              </w:rPr>
            </w:pPr>
            <w:r w:rsidRPr="00B562CF">
              <w:rPr>
                <w:sz w:val="18"/>
              </w:rPr>
              <w:t>define the term ‘stereotype’</w:t>
            </w:r>
          </w:p>
          <w:p w:rsidR="00683364" w:rsidRPr="00B562CF" w:rsidRDefault="00683364" w:rsidP="00B562CF">
            <w:pPr>
              <w:pStyle w:val="LAPTableBullets"/>
              <w:rPr>
                <w:sz w:val="18"/>
              </w:rPr>
            </w:pPr>
            <w:r w:rsidRPr="00B562CF">
              <w:rPr>
                <w:sz w:val="18"/>
              </w:rPr>
              <w:t>discuss how characters in the sitcom are stereotyped</w:t>
            </w:r>
          </w:p>
          <w:p w:rsidR="00683364" w:rsidRPr="00B562CF" w:rsidRDefault="00683364" w:rsidP="00B562CF">
            <w:pPr>
              <w:pStyle w:val="LAPTableBullets"/>
              <w:rPr>
                <w:sz w:val="18"/>
                <w:lang w:val="en-US"/>
              </w:rPr>
            </w:pPr>
            <w:proofErr w:type="gramStart"/>
            <w:r w:rsidRPr="00B562CF">
              <w:rPr>
                <w:sz w:val="18"/>
              </w:rPr>
              <w:t>identify</w:t>
            </w:r>
            <w:proofErr w:type="gramEnd"/>
            <w:r w:rsidRPr="00B562CF">
              <w:rPr>
                <w:sz w:val="18"/>
              </w:rPr>
              <w:t xml:space="preserve"> any characters who are not stereotyped or break with the traditional stereotypes.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683364" w:rsidRPr="00B562CF" w:rsidRDefault="00683364" w:rsidP="007408E5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A written response up to a maximum of </w:t>
            </w:r>
            <w:r w:rsidR="007408E5" w:rsidRPr="00B562CF">
              <w:rPr>
                <w:sz w:val="18"/>
                <w:lang w:val="en-US"/>
              </w:rPr>
              <w:t>8</w:t>
            </w:r>
            <w:r w:rsidRPr="00B562CF">
              <w:rPr>
                <w:sz w:val="18"/>
                <w:lang w:val="en-US"/>
              </w:rPr>
              <w:t>00 words.</w:t>
            </w:r>
          </w:p>
        </w:tc>
      </w:tr>
      <w:tr w:rsidR="00683364" w:rsidRPr="00667EE2" w:rsidTr="00B562CF">
        <w:trPr>
          <w:trHeight w:val="1004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667EE2" w:rsidRDefault="00683364" w:rsidP="003D0B5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667EE2">
              <w:rPr>
                <w:rFonts w:cs="Arial"/>
                <w:b/>
                <w:bCs/>
                <w:sz w:val="20"/>
                <w:szCs w:val="20"/>
                <w:lang w:val="en-US"/>
              </w:rPr>
              <w:t>Creating Texts</w:t>
            </w:r>
          </w:p>
          <w:p w:rsidR="00683364" w:rsidRPr="00667EE2" w:rsidRDefault="00683364" w:rsidP="00A276C4">
            <w:pPr>
              <w:pStyle w:val="LAPTableText"/>
              <w:jc w:val="center"/>
              <w:rPr>
                <w:bCs/>
                <w:szCs w:val="20"/>
                <w:lang w:val="en-US"/>
              </w:rPr>
            </w:pPr>
          </w:p>
          <w:p w:rsidR="00683364" w:rsidRPr="00667EE2" w:rsidRDefault="00683364" w:rsidP="00A276C4">
            <w:pPr>
              <w:pStyle w:val="LAPTableText"/>
              <w:jc w:val="center"/>
              <w:rPr>
                <w:szCs w:val="20"/>
                <w:lang w:val="en-US"/>
              </w:rPr>
            </w:pPr>
            <w:r w:rsidRPr="00667EE2">
              <w:rPr>
                <w:bCs/>
                <w:szCs w:val="20"/>
                <w:lang w:val="en-US"/>
              </w:rPr>
              <w:t xml:space="preserve">Weighting </w:t>
            </w:r>
            <w:r w:rsidRPr="00667EE2">
              <w:rPr>
                <w:szCs w:val="20"/>
                <w:lang w:val="en-US"/>
              </w:rPr>
              <w:t>25%</w:t>
            </w:r>
          </w:p>
        </w:tc>
        <w:tc>
          <w:tcPr>
            <w:tcW w:w="7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B562CF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Students examine a range of daily activities such as travelling on public transport, shopping or banking. They create an instructional </w:t>
            </w:r>
            <w:proofErr w:type="spellStart"/>
            <w:r w:rsidRPr="00B562CF">
              <w:rPr>
                <w:sz w:val="18"/>
                <w:lang w:val="en-US"/>
              </w:rPr>
              <w:t>vodcast</w:t>
            </w:r>
            <w:proofErr w:type="spellEnd"/>
            <w:r w:rsidRPr="00B562CF">
              <w:rPr>
                <w:sz w:val="18"/>
                <w:lang w:val="en-US"/>
              </w:rPr>
              <w:t xml:space="preserve"> (a video that can be broadcast over the Internet) for an audience of recent migrants, international students or tourists from another country. 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jc w:val="center"/>
              <w:rPr>
                <w:sz w:val="18"/>
                <w:szCs w:val="20"/>
                <w:lang w:val="en-US"/>
              </w:rPr>
            </w:pPr>
            <w:r w:rsidRPr="00B562CF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364" w:rsidRPr="00B562CF" w:rsidRDefault="00683364" w:rsidP="003D0B59">
            <w:pPr>
              <w:pStyle w:val="LAPTableText"/>
              <w:rPr>
                <w:sz w:val="18"/>
                <w:lang w:val="en-US"/>
              </w:rPr>
            </w:pPr>
            <w:r w:rsidRPr="00B562CF">
              <w:rPr>
                <w:sz w:val="18"/>
                <w:lang w:val="en-US"/>
              </w:rPr>
              <w:t xml:space="preserve">A </w:t>
            </w:r>
            <w:proofErr w:type="spellStart"/>
            <w:r w:rsidRPr="00B562CF">
              <w:rPr>
                <w:sz w:val="18"/>
                <w:lang w:val="en-US"/>
              </w:rPr>
              <w:t>vodcast</w:t>
            </w:r>
            <w:proofErr w:type="spellEnd"/>
            <w:r w:rsidRPr="00B562CF">
              <w:rPr>
                <w:sz w:val="18"/>
                <w:lang w:val="en-US"/>
              </w:rPr>
              <w:t xml:space="preserve"> up to a maximum of 5 minutes in length.</w:t>
            </w:r>
          </w:p>
        </w:tc>
      </w:tr>
    </w:tbl>
    <w:p w:rsidR="00683364" w:rsidRPr="007408E5" w:rsidRDefault="00683364" w:rsidP="007408E5"/>
    <w:p w:rsidR="00683364" w:rsidRDefault="00683364" w:rsidP="00683364">
      <w:pPr>
        <w:pStyle w:val="LAPBodyText"/>
        <w:rPr>
          <w:lang w:eastAsia="en-AU"/>
        </w:rPr>
      </w:pPr>
      <w:r w:rsidRPr="00A276C4">
        <w:rPr>
          <w:b/>
          <w:i/>
          <w:lang w:eastAsia="en-AU"/>
        </w:rPr>
        <w:t>Four assessments; at least one assessment should be an oral or multimodal and at least one should be in written form</w:t>
      </w:r>
      <w:r>
        <w:rPr>
          <w:b/>
          <w:lang w:eastAsia="en-AU"/>
        </w:rPr>
        <w:t>.</w:t>
      </w:r>
      <w:r>
        <w:rPr>
          <w:lang w:eastAsia="en-AU"/>
        </w:rPr>
        <w:t xml:space="preserve"> Please refer to </w:t>
      </w:r>
      <w:r w:rsidRPr="0071148A">
        <w:rPr>
          <w:lang w:eastAsia="en-AU"/>
        </w:rPr>
        <w:t xml:space="preserve">the </w:t>
      </w:r>
      <w:r>
        <w:rPr>
          <w:lang w:eastAsia="en-AU"/>
        </w:rPr>
        <w:t>Essential English</w:t>
      </w:r>
      <w:r w:rsidRPr="0071148A">
        <w:rPr>
          <w:lang w:eastAsia="en-AU"/>
        </w:rPr>
        <w:t xml:space="preserve"> Subject</w:t>
      </w:r>
      <w:r w:rsidRPr="004F16DE">
        <w:rPr>
          <w:lang w:eastAsia="en-AU"/>
        </w:rPr>
        <w:t xml:space="preserve"> Outline</w:t>
      </w:r>
      <w:r>
        <w:rPr>
          <w:lang w:eastAsia="en-AU"/>
        </w:rPr>
        <w:t>.</w:t>
      </w:r>
    </w:p>
    <w:p w:rsidR="002A53B7" w:rsidRPr="00A276C4" w:rsidRDefault="00683364" w:rsidP="00A276C4">
      <w:pPr>
        <w:pStyle w:val="LAPBodyText"/>
        <w:rPr>
          <w:i/>
          <w:iCs/>
          <w:lang w:val="en-US"/>
        </w:rPr>
      </w:pPr>
      <w:r w:rsidRPr="00A276C4">
        <w:rPr>
          <w:i/>
          <w:iCs/>
        </w:rPr>
        <w:t>Tasks kindly provided by Steve Walsh from Glenunga International High School</w:t>
      </w:r>
    </w:p>
    <w:sectPr w:rsidR="002A53B7" w:rsidRPr="00A276C4" w:rsidSect="00EB186C">
      <w:headerReference w:type="first" r:id="rId11"/>
      <w:footerReference w:type="first" r:id="rId12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63" w:rsidRDefault="004B0F63">
      <w:r>
        <w:separator/>
      </w:r>
    </w:p>
  </w:endnote>
  <w:endnote w:type="continuationSeparator" w:id="0">
    <w:p w:rsidR="004B0F63" w:rsidRDefault="004B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E5" w:rsidRDefault="002A53B7" w:rsidP="007408E5">
    <w:pPr>
      <w:pStyle w:val="LAPFooter"/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B562CF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B562CF">
      <w:rPr>
        <w:noProof/>
      </w:rPr>
      <w:t>2</w:t>
    </w:r>
    <w:r w:rsidRPr="00D128A8">
      <w:fldChar w:fldCharType="end"/>
    </w:r>
    <w:r w:rsidR="007408E5">
      <w:rPr>
        <w:sz w:val="18"/>
      </w:rPr>
      <w:tab/>
    </w:r>
    <w:r w:rsidR="007408E5">
      <w:t>Stage 1</w:t>
    </w:r>
    <w:r w:rsidR="00B562CF">
      <w:t xml:space="preserve"> Essential</w:t>
    </w:r>
    <w:r w:rsidR="007408E5">
      <w:t xml:space="preserve"> English pre-approved LAP-02 (for use from 2016)</w:t>
    </w:r>
  </w:p>
  <w:p w:rsidR="002A53B7" w:rsidRPr="007408E5" w:rsidRDefault="002A53B7" w:rsidP="007408E5">
    <w:pPr>
      <w:pStyle w:val="LAPFooter"/>
    </w:pPr>
    <w:r w:rsidRPr="007408E5">
      <w:tab/>
      <w:t xml:space="preserve">Ref: </w:t>
    </w:r>
    <w:r w:rsidR="00683364" w:rsidRPr="007408E5">
      <w:t>A468189</w:t>
    </w:r>
    <w:r w:rsidRPr="007408E5">
      <w:t xml:space="preserve"> (</w:t>
    </w:r>
    <w:r w:rsidR="00B562CF">
      <w:t>revised December 2016</w:t>
    </w:r>
    <w:r w:rsidRPr="007408E5">
      <w:t>)</w:t>
    </w:r>
  </w:p>
  <w:p w:rsidR="00B27FE3" w:rsidRPr="007408E5" w:rsidRDefault="002A53B7" w:rsidP="007408E5">
    <w:pPr>
      <w:pStyle w:val="LAPFooter"/>
    </w:pPr>
    <w:r w:rsidRPr="007408E5">
      <w:tab/>
      <w:t>© SACE Board of South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CF" w:rsidRDefault="00B562CF" w:rsidP="00B562CF">
    <w:pPr>
      <w:pStyle w:val="LAPFooter"/>
      <w:tabs>
        <w:tab w:val="clear" w:pos="9639"/>
        <w:tab w:val="clear" w:pos="14742"/>
        <w:tab w:val="right" w:pos="15309"/>
        <w:tab w:val="right" w:pos="15593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1 Essential English pre-approved LAP-02 (for use from 2016)</w:t>
    </w:r>
  </w:p>
  <w:p w:rsidR="00B562CF" w:rsidRPr="007408E5" w:rsidRDefault="00B562CF" w:rsidP="00B562CF">
    <w:pPr>
      <w:pStyle w:val="LAPFooter"/>
      <w:tabs>
        <w:tab w:val="clear" w:pos="9639"/>
        <w:tab w:val="clear" w:pos="14742"/>
        <w:tab w:val="right" w:pos="15309"/>
        <w:tab w:val="right" w:pos="15593"/>
      </w:tabs>
    </w:pPr>
    <w:r w:rsidRPr="007408E5">
      <w:tab/>
      <w:t>Ref: A468189 (</w:t>
    </w:r>
    <w:r>
      <w:t>revised December 2016</w:t>
    </w:r>
    <w:r w:rsidRPr="007408E5">
      <w:t>)</w:t>
    </w:r>
  </w:p>
  <w:p w:rsidR="00BA2185" w:rsidRPr="00B562CF" w:rsidRDefault="00B562CF" w:rsidP="00B562CF">
    <w:pPr>
      <w:pStyle w:val="LAPFooter"/>
      <w:tabs>
        <w:tab w:val="clear" w:pos="9639"/>
        <w:tab w:val="clear" w:pos="14742"/>
        <w:tab w:val="right" w:pos="15309"/>
        <w:tab w:val="right" w:pos="15593"/>
      </w:tabs>
    </w:pPr>
    <w:r w:rsidRPr="007408E5"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63" w:rsidRDefault="004B0F63">
      <w:r>
        <w:separator/>
      </w:r>
    </w:p>
  </w:footnote>
  <w:footnote w:type="continuationSeparator" w:id="0">
    <w:p w:rsidR="004B0F63" w:rsidRDefault="004B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0A41AB">
    <w:pPr>
      <w:pStyle w:val="Header"/>
    </w:pPr>
    <w:r>
      <w:rPr>
        <w:caps/>
        <w:noProof/>
        <w:sz w:val="32"/>
        <w:szCs w:val="32"/>
      </w:rPr>
      <w:drawing>
        <wp:inline distT="0" distB="0" distL="0" distR="0" wp14:anchorId="65B52225" wp14:editId="70EBC99E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DD" w:rsidRDefault="007A2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C2262D"/>
    <w:multiLevelType w:val="hybridMultilevel"/>
    <w:tmpl w:val="D9089A84"/>
    <w:lvl w:ilvl="0" w:tplc="229ABE24">
      <w:start w:val="1"/>
      <w:numFmt w:val="bullet"/>
      <w:pStyle w:val="LAP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36AD"/>
    <w:rsid w:val="00057EBC"/>
    <w:rsid w:val="00063CA9"/>
    <w:rsid w:val="00067DB9"/>
    <w:rsid w:val="00075133"/>
    <w:rsid w:val="00086F15"/>
    <w:rsid w:val="000A23A2"/>
    <w:rsid w:val="000A2BE0"/>
    <w:rsid w:val="000A41AB"/>
    <w:rsid w:val="000A73F9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34C8E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5087B"/>
    <w:rsid w:val="003561C1"/>
    <w:rsid w:val="00356D46"/>
    <w:rsid w:val="003670B3"/>
    <w:rsid w:val="00376BA9"/>
    <w:rsid w:val="00377DEC"/>
    <w:rsid w:val="0038004F"/>
    <w:rsid w:val="003961F5"/>
    <w:rsid w:val="003962A6"/>
    <w:rsid w:val="003A3B7E"/>
    <w:rsid w:val="003A487C"/>
    <w:rsid w:val="003B3C11"/>
    <w:rsid w:val="003C11D1"/>
    <w:rsid w:val="003D0B59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1C93"/>
    <w:rsid w:val="004A265C"/>
    <w:rsid w:val="004A4FF7"/>
    <w:rsid w:val="004B0F63"/>
    <w:rsid w:val="004C0B24"/>
    <w:rsid w:val="004C3EBC"/>
    <w:rsid w:val="004C6ABF"/>
    <w:rsid w:val="004D254A"/>
    <w:rsid w:val="004D4BEC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3364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08E5"/>
    <w:rsid w:val="007471E7"/>
    <w:rsid w:val="0074792E"/>
    <w:rsid w:val="0075733C"/>
    <w:rsid w:val="00760088"/>
    <w:rsid w:val="00763AFB"/>
    <w:rsid w:val="007810D8"/>
    <w:rsid w:val="007A24DD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6C4"/>
    <w:rsid w:val="00A27B37"/>
    <w:rsid w:val="00A372B3"/>
    <w:rsid w:val="00A4171C"/>
    <w:rsid w:val="00A41CA1"/>
    <w:rsid w:val="00A44351"/>
    <w:rsid w:val="00A452B1"/>
    <w:rsid w:val="00A457D9"/>
    <w:rsid w:val="00A460D7"/>
    <w:rsid w:val="00A57D2D"/>
    <w:rsid w:val="00A73078"/>
    <w:rsid w:val="00A840FD"/>
    <w:rsid w:val="00A86047"/>
    <w:rsid w:val="00A87E4B"/>
    <w:rsid w:val="00AA3F1B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5A8A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562CF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CE137F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6979"/>
    <w:rsid w:val="00E07410"/>
    <w:rsid w:val="00E10778"/>
    <w:rsid w:val="00E11E17"/>
    <w:rsid w:val="00E13855"/>
    <w:rsid w:val="00E23540"/>
    <w:rsid w:val="00E33BD4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C55E0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A276C4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AE5A8A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134C8E"/>
    <w:pPr>
      <w:spacing w:before="120" w:after="60"/>
    </w:pPr>
    <w:rPr>
      <w:rFonts w:ascii="Arial" w:eastAsia="SimSun" w:hAnsi="Arial" w:cs="Arial"/>
      <w:b/>
      <w:bCs/>
      <w:sz w:val="22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276C4"/>
    <w:rPr>
      <w:rFonts w:ascii="Tahoma" w:eastAsia="SimSun" w:hAnsi="Tahoma" w:cs="Tahoma"/>
      <w:sz w:val="16"/>
      <w:szCs w:val="16"/>
      <w:lang w:eastAsia="en-US"/>
    </w:rPr>
  </w:style>
  <w:style w:type="paragraph" w:customStyle="1" w:styleId="LAPTableHeading1">
    <w:name w:val="LAP Table Heading 1"/>
    <w:next w:val="Normal"/>
    <w:qFormat/>
    <w:rsid w:val="00A276C4"/>
    <w:pPr>
      <w:spacing w:before="20" w:after="20"/>
    </w:pPr>
    <w:rPr>
      <w:rFonts w:ascii="Arial" w:eastAsia="SimSun" w:hAnsi="Arial" w:cs="Arial"/>
      <w:b/>
      <w:szCs w:val="18"/>
      <w:lang w:eastAsia="en-US"/>
    </w:rPr>
  </w:style>
  <w:style w:type="paragraph" w:customStyle="1" w:styleId="LAPTableText">
    <w:name w:val="LAP Table Text"/>
    <w:next w:val="Normal"/>
    <w:qFormat/>
    <w:rsid w:val="007408E5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LAPTableBullets">
    <w:name w:val="LAP Table Bullets"/>
    <w:qFormat/>
    <w:rsid w:val="00683364"/>
    <w:pPr>
      <w:numPr>
        <w:numId w:val="12"/>
      </w:numPr>
      <w:tabs>
        <w:tab w:val="num" w:pos="720"/>
      </w:tabs>
      <w:spacing w:before="20" w:after="20"/>
      <w:ind w:left="357" w:hanging="357"/>
    </w:pPr>
    <w:rPr>
      <w:rFonts w:ascii="Arial" w:eastAsia="Calibri" w:hAnsi="Arial" w:cs="Arial"/>
      <w:lang w:eastAsia="en-US"/>
    </w:rPr>
  </w:style>
  <w:style w:type="paragraph" w:customStyle="1" w:styleId="LAPBullet">
    <w:name w:val="LAP Bullet"/>
    <w:qFormat/>
    <w:rsid w:val="00AE5A8A"/>
    <w:pPr>
      <w:numPr>
        <w:numId w:val="13"/>
      </w:numPr>
      <w:spacing w:before="40" w:after="40"/>
      <w:ind w:left="357" w:hanging="357"/>
    </w:pPr>
    <w:rPr>
      <w:rFonts w:ascii="Arial" w:eastAsia="SimSu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A276C4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AE5A8A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134C8E"/>
    <w:pPr>
      <w:spacing w:before="120" w:after="60"/>
    </w:pPr>
    <w:rPr>
      <w:rFonts w:ascii="Arial" w:eastAsia="SimSun" w:hAnsi="Arial" w:cs="Arial"/>
      <w:b/>
      <w:bCs/>
      <w:sz w:val="22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276C4"/>
    <w:rPr>
      <w:rFonts w:ascii="Tahoma" w:eastAsia="SimSun" w:hAnsi="Tahoma" w:cs="Tahoma"/>
      <w:sz w:val="16"/>
      <w:szCs w:val="16"/>
      <w:lang w:eastAsia="en-US"/>
    </w:rPr>
  </w:style>
  <w:style w:type="paragraph" w:customStyle="1" w:styleId="LAPTableHeading1">
    <w:name w:val="LAP Table Heading 1"/>
    <w:next w:val="Normal"/>
    <w:qFormat/>
    <w:rsid w:val="00A276C4"/>
    <w:pPr>
      <w:spacing w:before="20" w:after="20"/>
    </w:pPr>
    <w:rPr>
      <w:rFonts w:ascii="Arial" w:eastAsia="SimSun" w:hAnsi="Arial" w:cs="Arial"/>
      <w:b/>
      <w:szCs w:val="18"/>
      <w:lang w:eastAsia="en-US"/>
    </w:rPr>
  </w:style>
  <w:style w:type="paragraph" w:customStyle="1" w:styleId="LAPTableText">
    <w:name w:val="LAP Table Text"/>
    <w:next w:val="Normal"/>
    <w:qFormat/>
    <w:rsid w:val="007408E5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LAPTableBullets">
    <w:name w:val="LAP Table Bullets"/>
    <w:qFormat/>
    <w:rsid w:val="00683364"/>
    <w:pPr>
      <w:numPr>
        <w:numId w:val="12"/>
      </w:numPr>
      <w:tabs>
        <w:tab w:val="num" w:pos="720"/>
      </w:tabs>
      <w:spacing w:before="20" w:after="20"/>
      <w:ind w:left="357" w:hanging="357"/>
    </w:pPr>
    <w:rPr>
      <w:rFonts w:ascii="Arial" w:eastAsia="Calibri" w:hAnsi="Arial" w:cs="Arial"/>
      <w:lang w:eastAsia="en-US"/>
    </w:rPr>
  </w:style>
  <w:style w:type="paragraph" w:customStyle="1" w:styleId="LAPBullet">
    <w:name w:val="LAP Bullet"/>
    <w:qFormat/>
    <w:rsid w:val="00AE5A8A"/>
    <w:pPr>
      <w:numPr>
        <w:numId w:val="13"/>
      </w:numPr>
      <w:spacing w:before="40" w:after="40"/>
      <w:ind w:left="357" w:hanging="357"/>
    </w:pPr>
    <w:rPr>
      <w:rFonts w:ascii="Arial" w:eastAsia="SimSu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7D69-359A-4D9C-BDC1-030DF77E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2</cp:revision>
  <cp:lastPrinted>2015-09-01T21:53:00Z</cp:lastPrinted>
  <dcterms:created xsi:type="dcterms:W3CDTF">2017-01-30T21:48:00Z</dcterms:created>
  <dcterms:modified xsi:type="dcterms:W3CDTF">2017-01-30T21:48:00Z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A468189</vt:lpwstr>
  </property>
  <property fmtid="{D5CDD505-2E9C-101B-9397-08002B2CF9AE}" pid="3" name="Objective-Title">
    <vt:lpwstr>Stage 1 Essential English - Pre-approved LAP-02</vt:lpwstr>
  </property>
  <property fmtid="{D5CDD505-2E9C-101B-9397-08002B2CF9AE}" pid="4" name="Objective-Comment">
    <vt:lpwstr/>
  </property>
  <property fmtid="{D5CDD505-2E9C-101B-9397-08002B2CF9AE}" pid="5" name="Objective-CreationStamp">
    <vt:filetime>2015-08-13T04:37:34Z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2017-01-30T21:46:41Z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1:English:Essential English Stage 1 (from 2016):Pre-approved LAPs (previously exemplar LAPs):</vt:lpwstr>
  </property>
  <property fmtid="{D5CDD505-2E9C-101B-9397-08002B2CF9AE}" pid="12" name="Objective-Parent">
    <vt:lpwstr>Pre-approved LAPs (previously exemplar LAPs)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9.1</vt:lpwstr>
  </property>
  <property fmtid="{D5CDD505-2E9C-101B-9397-08002B2CF9AE}" pid="15" name="Objective-VersionNumber">
    <vt:r8>12</vt:r8>
  </property>
  <property fmtid="{D5CDD505-2E9C-101B-9397-08002B2CF9AE}" pid="16" name="Objective-VersionComment">
    <vt:lpwstr/>
  </property>
  <property fmtid="{D5CDD505-2E9C-101B-9397-08002B2CF9AE}" pid="17" name="Objective-FileNumber">
    <vt:lpwstr>qA13662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