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3FA16" w14:textId="77777777" w:rsidR="002E0DD8" w:rsidRDefault="002E0DD8" w:rsidP="002E0DD8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</w:p>
    <w:p w14:paraId="0C6DD96A" w14:textId="77777777" w:rsidR="002E0DD8" w:rsidRPr="00F66744" w:rsidRDefault="002E0DD8" w:rsidP="002E0DD8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>PRE-APPROVED LEARNING AND ASSESSMENT PLAN</w:t>
      </w:r>
    </w:p>
    <w:p w14:paraId="6D3A6C8E" w14:textId="77777777" w:rsidR="002E0DD8" w:rsidRDefault="002E0DD8" w:rsidP="002E0DD8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Pr="00F66744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Ancient Studies</w:t>
      </w:r>
    </w:p>
    <w:p w14:paraId="75637480" w14:textId="287E1604" w:rsidR="002E0DD8" w:rsidRPr="000B02FA" w:rsidRDefault="002E0DD8" w:rsidP="002E0DD8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="003161AB">
        <w:rPr>
          <w:rFonts w:cs="Arial"/>
          <w:sz w:val="20"/>
          <w:szCs w:val="20"/>
        </w:rPr>
        <w:t>.</w:t>
      </w:r>
    </w:p>
    <w:p w14:paraId="03794884" w14:textId="614AD215" w:rsidR="002E0DD8" w:rsidRPr="000B02FA" w:rsidRDefault="002E0DD8" w:rsidP="002E0DD8">
      <w:pPr>
        <w:numPr>
          <w:ilvl w:val="0"/>
          <w:numId w:val="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Teachers may make changes to the plan, retaining align</w:t>
      </w:r>
      <w:r w:rsidR="003161AB">
        <w:rPr>
          <w:rFonts w:cs="Arial"/>
          <w:sz w:val="20"/>
          <w:szCs w:val="20"/>
        </w:rPr>
        <w:t>ment with the subject outline.</w:t>
      </w:r>
    </w:p>
    <w:p w14:paraId="5EDFA6B9" w14:textId="77777777" w:rsidR="002E0DD8" w:rsidRPr="000B02FA" w:rsidRDefault="002E0DD8" w:rsidP="002E0DD8">
      <w:pPr>
        <w:numPr>
          <w:ilvl w:val="0"/>
          <w:numId w:val="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14:paraId="450BFEF1" w14:textId="77777777" w:rsidR="002E0DD8" w:rsidRPr="000B02FA" w:rsidRDefault="002E0DD8" w:rsidP="002E0DD8">
      <w:pPr>
        <w:numPr>
          <w:ilvl w:val="0"/>
          <w:numId w:val="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2E0DD8" w:rsidRPr="000B02FA" w14:paraId="5C2A64C8" w14:textId="77777777" w:rsidTr="002E0DD8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14:paraId="7840476D" w14:textId="77777777" w:rsidR="002E0DD8" w:rsidRPr="000B02FA" w:rsidRDefault="002E0DD8" w:rsidP="002E0DD8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0125AB" w14:textId="77777777" w:rsidR="002E0DD8" w:rsidRPr="000B02FA" w:rsidRDefault="002E0DD8" w:rsidP="002E0DD8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0F01BD" w14:textId="77777777" w:rsidR="002E0DD8" w:rsidRPr="000B02FA" w:rsidRDefault="002E0DD8" w:rsidP="002E0DD8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C289B9" w14:textId="77777777" w:rsidR="002E0DD8" w:rsidRPr="000B02FA" w:rsidRDefault="002E0DD8" w:rsidP="002E0DD8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6169400B" w14:textId="77777777" w:rsidR="002E0DD8" w:rsidRPr="00F66744" w:rsidRDefault="002E0DD8" w:rsidP="002E0DD8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2E0DD8" w:rsidRPr="00F66744" w14:paraId="3ECDE6CE" w14:textId="77777777" w:rsidTr="002E0DD8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14:paraId="1DCADBB6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14:paraId="0A5B964F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14:paraId="76A20939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4148B636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14:paraId="1D82FBAD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14:paraId="44FDEF51" w14:textId="77777777" w:rsidR="002E0DD8" w:rsidRPr="003B2B0E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14:paraId="5CD2DD9A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08C3B5B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2E0DD8" w:rsidRPr="00F66744" w14:paraId="78A41DEA" w14:textId="77777777" w:rsidTr="002E0DD8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14:paraId="7C1C3104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609171E5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14:paraId="46CB3961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14:paraId="7D651A3F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AACE530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45E1377B" w14:textId="77777777" w:rsidR="002E0DD8" w:rsidRPr="003B2B0E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C1A49BD" w14:textId="77777777" w:rsidR="002E0DD8" w:rsidRPr="003B2B0E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14:paraId="478BD29E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A1BD415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2E0DD8" w:rsidRPr="00F66744" w14:paraId="3F19F354" w14:textId="77777777" w:rsidTr="002E0DD8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14:paraId="4B1C969D" w14:textId="77777777" w:rsidR="002E0DD8" w:rsidRPr="00F66744" w:rsidRDefault="002E0DD8" w:rsidP="002E0DD8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2CAE193" w14:textId="77777777" w:rsidR="002E0DD8" w:rsidRPr="00F66744" w:rsidRDefault="002E0DD8" w:rsidP="002E0DD8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C3C8464" w14:textId="77777777" w:rsidR="002E0DD8" w:rsidRPr="00F66744" w:rsidRDefault="002E0DD8" w:rsidP="002E0DD8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AFCED1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B9DDD47" w14:textId="77777777" w:rsidR="002E0DD8" w:rsidRPr="00F66744" w:rsidRDefault="002E0DD8" w:rsidP="002E0DD8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23EACDB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97A3304" w14:textId="77777777" w:rsidR="002E0DD8" w:rsidRPr="00F66744" w:rsidRDefault="002E0DD8" w:rsidP="002E0D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003D1AF" w14:textId="3D0ADCAB" w:rsidR="002E0DD8" w:rsidRPr="00F66744" w:rsidRDefault="00850A8E" w:rsidP="002E0DD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D8FE704" w14:textId="41B768CF" w:rsidR="002E0DD8" w:rsidRPr="00F66744" w:rsidRDefault="00850A8E" w:rsidP="002E0DD8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49E4007" w14:textId="343C9AC0" w:rsidR="002E0DD8" w:rsidRPr="003B2B0E" w:rsidRDefault="00850A8E" w:rsidP="002E0DD8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60AF6FD" w14:textId="77777777" w:rsidR="002E0DD8" w:rsidRPr="003B2B0E" w:rsidRDefault="002E0DD8" w:rsidP="002E0DD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B23113" w14:textId="77777777" w:rsidR="002E0DD8" w:rsidRPr="00F66744" w:rsidRDefault="002E0DD8" w:rsidP="002E0DD8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81169F0" w14:textId="77777777" w:rsidR="002E0DD8" w:rsidRPr="00F66744" w:rsidRDefault="002E0DD8" w:rsidP="002E0DD8">
            <w:pPr>
              <w:jc w:val="center"/>
              <w:rPr>
                <w:b/>
              </w:rPr>
            </w:pPr>
          </w:p>
        </w:tc>
      </w:tr>
    </w:tbl>
    <w:p w14:paraId="6198C0DE" w14:textId="77777777" w:rsidR="002E0DD8" w:rsidRDefault="002E0DD8" w:rsidP="002E0DD8"/>
    <w:p w14:paraId="3C2BFF4E" w14:textId="77777777" w:rsidR="002E0DD8" w:rsidRPr="001C427B" w:rsidRDefault="002E0DD8" w:rsidP="002E0DD8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2E0DD8" w:rsidRPr="004C6ABF" w14:paraId="17CD9BE8" w14:textId="77777777" w:rsidTr="002E0DD8">
        <w:trPr>
          <w:trHeight w:val="2581"/>
        </w:trPr>
        <w:tc>
          <w:tcPr>
            <w:tcW w:w="10206" w:type="dxa"/>
          </w:tcPr>
          <w:p w14:paraId="7EEE3A6F" w14:textId="77777777" w:rsidR="002E0DD8" w:rsidRPr="004C6ABF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14:paraId="1444B222" w14:textId="77777777" w:rsidR="002E0DD8" w:rsidRPr="004C6ABF" w:rsidRDefault="002E0DD8" w:rsidP="002E0DD8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14:paraId="2A7274EE" w14:textId="77777777" w:rsidR="002E0DD8" w:rsidRPr="004C6ABF" w:rsidRDefault="002E0DD8" w:rsidP="002E0DD8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14:paraId="03FC993E" w14:textId="77777777" w:rsidR="002E0DD8" w:rsidRPr="004C6ABF" w:rsidRDefault="002E0DD8" w:rsidP="002E0DD8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proofErr w:type="gramStart"/>
            <w:r w:rsidRPr="004C6ABF">
              <w:rPr>
                <w:rFonts w:cs="Arial"/>
                <w:sz w:val="18"/>
                <w:szCs w:val="18"/>
              </w:rPr>
              <w:t>whether</w:t>
            </w:r>
            <w:proofErr w:type="gramEnd"/>
            <w:r w:rsidRPr="004C6ABF">
              <w:rPr>
                <w:rFonts w:cs="Arial"/>
                <w:sz w:val="18"/>
                <w:szCs w:val="18"/>
              </w:rPr>
              <w:t xml:space="preserve">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14:paraId="0C8F9DA4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7C9F664E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A24B45A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D279778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2EAA7F8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6F3A929B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5174962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5966FEDB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5F4BF19F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7F814756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D9AA1A2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50379333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7F16F313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E782128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519CBBBE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4DB5B6B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6E4EC0DB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5E49791C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43B80236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5399FB2" w14:textId="77777777" w:rsidR="002E0DD8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EB02D7C" w14:textId="77777777" w:rsidR="002E0DD8" w:rsidRPr="004C6ABF" w:rsidRDefault="002E0DD8" w:rsidP="002E0DD8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14:paraId="45E2CD0D" w14:textId="77777777" w:rsidR="002E0DD8" w:rsidRPr="001C427B" w:rsidRDefault="002E0DD8" w:rsidP="002E0DD8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14:paraId="28E14749" w14:textId="77777777" w:rsidR="002E0DD8" w:rsidRPr="004C6ABF" w:rsidRDefault="002E0DD8" w:rsidP="002E0DD8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14:paraId="65789402" w14:textId="77777777" w:rsidR="002E0DD8" w:rsidRPr="004C6ABF" w:rsidRDefault="002E0DD8" w:rsidP="002E0DD8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2E0DD8" w:rsidRPr="004C6ABF" w14:paraId="25052DDE" w14:textId="77777777" w:rsidTr="002E0DD8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14:paraId="5DD2FE6C" w14:textId="77777777" w:rsidR="002E0DD8" w:rsidRPr="004C6ABF" w:rsidRDefault="002E0DD8" w:rsidP="002E0DD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74C15" w14:textId="77777777" w:rsidR="002E0DD8" w:rsidRPr="004C6ABF" w:rsidRDefault="002E0DD8" w:rsidP="002E0DD8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5AE62C0" w14:textId="77777777" w:rsidR="002E0DD8" w:rsidRPr="004C6ABF" w:rsidRDefault="002E0DD8" w:rsidP="002E0DD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0F1E2A" w14:textId="77777777" w:rsidR="002E0DD8" w:rsidRPr="004C6ABF" w:rsidRDefault="002E0DD8" w:rsidP="002E0DD8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14:paraId="52BD53D2" w14:textId="77777777" w:rsidR="002E0DD8" w:rsidRDefault="002E0DD8" w:rsidP="002E0DD8">
      <w:pPr>
        <w:rPr>
          <w:highlight w:val="yellow"/>
        </w:rPr>
        <w:sectPr w:rsidR="002E0DD8" w:rsidSect="002E0D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14:paraId="444585A4" w14:textId="77777777" w:rsidR="002E0DD8" w:rsidRPr="004963F3" w:rsidRDefault="002E0DD8" w:rsidP="002E0DD8">
      <w:pPr>
        <w:pStyle w:val="LAPHeading"/>
      </w:pPr>
      <w:r w:rsidRPr="004963F3">
        <w:lastRenderedPageBreak/>
        <w:t xml:space="preserve">Stage </w:t>
      </w:r>
      <w:r>
        <w:t>1 Ancient Studies (10-</w:t>
      </w:r>
      <w:r w:rsidRPr="004963F3">
        <w:t>credits)</w:t>
      </w:r>
    </w:p>
    <w:p w14:paraId="3A24C310" w14:textId="77777777" w:rsidR="002E0DD8" w:rsidRPr="004963F3" w:rsidRDefault="002E0DD8" w:rsidP="002E0DD8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14:paraId="2F5C1887" w14:textId="77777777" w:rsidR="002E0DD8" w:rsidRPr="004963F3" w:rsidRDefault="002E0DD8" w:rsidP="002E0DD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14:paraId="7B25B31A" w14:textId="77777777" w:rsidR="002E0DD8" w:rsidRPr="00460FB4" w:rsidRDefault="002E0DD8" w:rsidP="002E0DD8">
      <w:pPr>
        <w:rPr>
          <w:rFonts w:cs="Arial"/>
          <w:sz w:val="8"/>
          <w:szCs w:val="8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7501"/>
        <w:gridCol w:w="850"/>
        <w:gridCol w:w="850"/>
        <w:gridCol w:w="851"/>
        <w:gridCol w:w="4111"/>
      </w:tblGrid>
      <w:tr w:rsidR="002E0DD8" w:rsidRPr="004963F3" w14:paraId="1F117420" w14:textId="77777777" w:rsidTr="002E0DD8">
        <w:trPr>
          <w:trHeight w:val="345"/>
          <w:tblHeader/>
        </w:trPr>
        <w:tc>
          <w:tcPr>
            <w:tcW w:w="1396" w:type="dxa"/>
            <w:vMerge w:val="restart"/>
            <w:shd w:val="clear" w:color="auto" w:fill="auto"/>
            <w:vAlign w:val="center"/>
          </w:tcPr>
          <w:p w14:paraId="7054F842" w14:textId="77777777" w:rsidR="002E0DD8" w:rsidRPr="00F40B4F" w:rsidRDefault="002E0DD8" w:rsidP="002E0DD8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7501" w:type="dxa"/>
            <w:vMerge w:val="restart"/>
            <w:shd w:val="clear" w:color="auto" w:fill="auto"/>
            <w:vAlign w:val="center"/>
          </w:tcPr>
          <w:p w14:paraId="06C4FA16" w14:textId="77777777" w:rsidR="002E0DD8" w:rsidRPr="0030789D" w:rsidRDefault="002E0DD8" w:rsidP="002E0DD8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DBAC614" w14:textId="77777777" w:rsidR="002E0DD8" w:rsidRPr="0030789D" w:rsidRDefault="002E0DD8" w:rsidP="002E0DD8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114DCDED" w14:textId="77777777" w:rsidR="002E0DD8" w:rsidRPr="0030789D" w:rsidRDefault="002E0DD8" w:rsidP="002E0DD8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14:paraId="70E1BCB6" w14:textId="77777777" w:rsidR="002E0DD8" w:rsidRPr="0030789D" w:rsidRDefault="002E0DD8" w:rsidP="002E0DD8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2E0DD8" w:rsidRPr="004963F3" w14:paraId="5DA9C6A4" w14:textId="77777777" w:rsidTr="003161AB">
        <w:trPr>
          <w:trHeight w:val="345"/>
          <w:tblHeader/>
        </w:trPr>
        <w:tc>
          <w:tcPr>
            <w:tcW w:w="1396" w:type="dxa"/>
            <w:vMerge/>
            <w:shd w:val="clear" w:color="auto" w:fill="auto"/>
            <w:vAlign w:val="center"/>
          </w:tcPr>
          <w:p w14:paraId="7BA0B993" w14:textId="77777777" w:rsidR="002E0DD8" w:rsidRPr="004963F3" w:rsidRDefault="002E0DD8" w:rsidP="002E0DD8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501" w:type="dxa"/>
            <w:vMerge/>
            <w:shd w:val="clear" w:color="auto" w:fill="auto"/>
            <w:vAlign w:val="center"/>
          </w:tcPr>
          <w:p w14:paraId="5FFC4751" w14:textId="77777777" w:rsidR="002E0DD8" w:rsidRPr="004963F3" w:rsidRDefault="002E0DD8" w:rsidP="002E0DD8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48E5A2" w14:textId="6DE4C8BF" w:rsidR="002E0DD8" w:rsidRPr="00A62C00" w:rsidRDefault="002E0DD8" w:rsidP="002E0DD8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KU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9E77AE" w14:textId="6099C4AF" w:rsidR="002E0DD8" w:rsidRPr="004963F3" w:rsidRDefault="002E0DD8" w:rsidP="002E0DD8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RA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2238E" w14:textId="24E53A81" w:rsidR="002E0DD8" w:rsidRPr="00EE7715" w:rsidRDefault="00BC4EB0" w:rsidP="002E0DD8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CFAD428" w14:textId="77777777" w:rsidR="002E0DD8" w:rsidRPr="004963F3" w:rsidRDefault="002E0DD8" w:rsidP="002E0DD8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E0DD8" w:rsidRPr="004963F3" w14:paraId="3FD11D63" w14:textId="77777777" w:rsidTr="003161AB">
        <w:trPr>
          <w:trHeight w:val="1317"/>
        </w:trPr>
        <w:tc>
          <w:tcPr>
            <w:tcW w:w="1396" w:type="dxa"/>
            <w:vMerge w:val="restart"/>
            <w:shd w:val="clear" w:color="auto" w:fill="auto"/>
            <w:vAlign w:val="center"/>
          </w:tcPr>
          <w:p w14:paraId="55365FB0" w14:textId="6BFFD691" w:rsidR="002E0DD8" w:rsidRPr="002E0DD8" w:rsidRDefault="002E0DD8" w:rsidP="002E0DD8">
            <w:pPr>
              <w:pStyle w:val="LAPTableText"/>
              <w:jc w:val="center"/>
              <w:rPr>
                <w:b/>
                <w:lang w:val="en-US"/>
              </w:rPr>
            </w:pPr>
            <w:r w:rsidRPr="002E0DD8">
              <w:rPr>
                <w:b/>
                <w:lang w:val="en-US"/>
              </w:rPr>
              <w:t xml:space="preserve">Skills </w:t>
            </w:r>
            <w:r w:rsidR="003161AB">
              <w:rPr>
                <w:b/>
                <w:lang w:val="en-US"/>
              </w:rPr>
              <w:t>and</w:t>
            </w:r>
            <w:r w:rsidRPr="002E0DD8">
              <w:rPr>
                <w:b/>
                <w:lang w:val="en-US"/>
              </w:rPr>
              <w:t xml:space="preserve"> Application</w:t>
            </w:r>
          </w:p>
          <w:p w14:paraId="3882E6A7" w14:textId="1C53CDB1" w:rsidR="002E0DD8" w:rsidRPr="002E0DD8" w:rsidRDefault="00BC4EB0" w:rsidP="002E0DD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Weighting 7</w:t>
            </w:r>
            <w:r w:rsidR="002E0DD8" w:rsidRPr="002E0DD8">
              <w:rPr>
                <w:b/>
                <w:sz w:val="18"/>
                <w:szCs w:val="18"/>
                <w:lang w:val="en-US"/>
              </w:rPr>
              <w:t>5%</w:t>
            </w:r>
          </w:p>
          <w:p w14:paraId="10D77840" w14:textId="77777777" w:rsidR="002E0DD8" w:rsidRPr="002E0DD8" w:rsidRDefault="002E0DD8" w:rsidP="002E0DD8">
            <w:pPr>
              <w:jc w:val="center"/>
            </w:pPr>
          </w:p>
          <w:p w14:paraId="2C9932CD" w14:textId="52168526" w:rsidR="002E0DD8" w:rsidRPr="00F40B4F" w:rsidRDefault="002E0DD8" w:rsidP="002E0DD8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501" w:type="dxa"/>
            <w:shd w:val="clear" w:color="auto" w:fill="auto"/>
          </w:tcPr>
          <w:p w14:paraId="0C3EB532" w14:textId="7FE119F2" w:rsidR="002E0DD8" w:rsidRPr="001764A3" w:rsidRDefault="001764A3" w:rsidP="001764A3">
            <w:pPr>
              <w:rPr>
                <w:sz w:val="18"/>
                <w:szCs w:val="18"/>
              </w:rPr>
            </w:pPr>
            <w:r w:rsidRPr="001764A3">
              <w:rPr>
                <w:b/>
                <w:sz w:val="20"/>
                <w:szCs w:val="20"/>
                <w:u w:val="single"/>
              </w:rPr>
              <w:t>Topic 5: Beliefs, rituals and mythology</w:t>
            </w:r>
            <w:r w:rsidRPr="001764A3">
              <w:rPr>
                <w:sz w:val="20"/>
                <w:szCs w:val="20"/>
              </w:rPr>
              <w:t xml:space="preserve"> </w:t>
            </w:r>
            <w:r w:rsidR="00757FA8" w:rsidRPr="001764A3">
              <w:rPr>
                <w:sz w:val="20"/>
                <w:szCs w:val="20"/>
              </w:rPr>
              <w:t xml:space="preserve">Students will examine the </w:t>
            </w:r>
            <w:r w:rsidR="008B0F89" w:rsidRPr="001764A3">
              <w:rPr>
                <w:sz w:val="20"/>
                <w:szCs w:val="20"/>
              </w:rPr>
              <w:t>beliefs and rituals</w:t>
            </w:r>
            <w:r w:rsidR="00757FA8" w:rsidRPr="001764A3">
              <w:rPr>
                <w:sz w:val="20"/>
                <w:szCs w:val="20"/>
              </w:rPr>
              <w:t xml:space="preserve"> of the peoples of Ancient </w:t>
            </w:r>
            <w:r w:rsidR="008B0F89" w:rsidRPr="001764A3">
              <w:rPr>
                <w:sz w:val="20"/>
                <w:szCs w:val="20"/>
              </w:rPr>
              <w:t>Britain</w:t>
            </w:r>
            <w:r w:rsidR="00757FA8" w:rsidRPr="001764A3">
              <w:rPr>
                <w:sz w:val="20"/>
                <w:szCs w:val="20"/>
              </w:rPr>
              <w:t xml:space="preserve"> through an examination of the stone circles at Av</w:t>
            </w:r>
            <w:r w:rsidR="008B0F89" w:rsidRPr="001764A3">
              <w:rPr>
                <w:sz w:val="20"/>
                <w:szCs w:val="20"/>
              </w:rPr>
              <w:t>ebu</w:t>
            </w:r>
            <w:r w:rsidR="00757FA8" w:rsidRPr="001764A3">
              <w:rPr>
                <w:sz w:val="20"/>
                <w:szCs w:val="20"/>
              </w:rPr>
              <w:t xml:space="preserve">ry and Stonehenge, </w:t>
            </w:r>
            <w:r w:rsidRPr="001764A3">
              <w:rPr>
                <w:sz w:val="20"/>
                <w:szCs w:val="20"/>
              </w:rPr>
              <w:t>and the</w:t>
            </w:r>
            <w:r w:rsidR="00BE70BE" w:rsidRPr="001764A3">
              <w:rPr>
                <w:sz w:val="20"/>
                <w:szCs w:val="20"/>
              </w:rPr>
              <w:t xml:space="preserve"> </w:t>
            </w:r>
            <w:r w:rsidR="00594CDB" w:rsidRPr="001764A3">
              <w:rPr>
                <w:sz w:val="20"/>
                <w:szCs w:val="20"/>
              </w:rPr>
              <w:t>barrows and</w:t>
            </w:r>
            <w:r w:rsidR="00BE70BE" w:rsidRPr="001764A3">
              <w:rPr>
                <w:sz w:val="20"/>
                <w:szCs w:val="20"/>
              </w:rPr>
              <w:t xml:space="preserve"> gathering places within</w:t>
            </w:r>
            <w:r w:rsidR="00757FA8" w:rsidRPr="001764A3">
              <w:rPr>
                <w:sz w:val="20"/>
                <w:szCs w:val="20"/>
              </w:rPr>
              <w:t xml:space="preserve"> the Avebury World Heritage Site. </w:t>
            </w:r>
            <w:r w:rsidR="008B0F89" w:rsidRPr="001764A3">
              <w:rPr>
                <w:sz w:val="20"/>
                <w:szCs w:val="20"/>
              </w:rPr>
              <w:t>They will examine concepts of afterlife,</w:t>
            </w:r>
            <w:r w:rsidR="00BE70BE" w:rsidRPr="001764A3">
              <w:rPr>
                <w:sz w:val="20"/>
                <w:szCs w:val="20"/>
              </w:rPr>
              <w:t xml:space="preserve"> the</w:t>
            </w:r>
            <w:r w:rsidR="008B0F89" w:rsidRPr="001764A3">
              <w:rPr>
                <w:sz w:val="20"/>
                <w:szCs w:val="20"/>
              </w:rPr>
              <w:t xml:space="preserve"> rituals, funerary and burial practices of ‘stone age’ Britons.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BA0705" w14:textId="2B71BDDE" w:rsidR="002E0DD8" w:rsidRPr="00344964" w:rsidRDefault="00DA69FE" w:rsidP="002E0DD8">
            <w:pPr>
              <w:pStyle w:val="ACLAPTableText"/>
              <w:rPr>
                <w:lang w:val="en-US"/>
              </w:rPr>
            </w:pPr>
            <w:r w:rsidRPr="00344964">
              <w:rPr>
                <w:lang w:val="en-US"/>
              </w:rPr>
              <w:t>1,2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C2C12" w14:textId="4F7EE6E1" w:rsidR="002E0DD8" w:rsidRPr="00344964" w:rsidRDefault="00344964" w:rsidP="002E0DD8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3A5E6" w14:textId="35F55644" w:rsidR="002E0DD8" w:rsidRPr="00344964" w:rsidRDefault="00DA69FE" w:rsidP="002E0DD8">
            <w:pPr>
              <w:pStyle w:val="ACLAPTableText"/>
              <w:rPr>
                <w:lang w:val="en-US"/>
              </w:rPr>
            </w:pPr>
            <w:r w:rsidRPr="00344964">
              <w:rPr>
                <w:lang w:val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5B88281F" w14:textId="7FA93ECF" w:rsidR="00223312" w:rsidRDefault="00DA69FE" w:rsidP="00223312">
            <w:pPr>
              <w:pStyle w:val="ACLAPTableText"/>
            </w:pPr>
            <w:r>
              <w:t xml:space="preserve">Students will write </w:t>
            </w:r>
            <w:r w:rsidR="00594CDB">
              <w:t>responses to questions on a source analysis containing both</w:t>
            </w:r>
            <w:r w:rsidR="003161AB">
              <w:t xml:space="preserve"> primary and sources.</w:t>
            </w:r>
          </w:p>
          <w:p w14:paraId="362836F5" w14:textId="4BF5172E" w:rsidR="00DA69FE" w:rsidRPr="00573AA2" w:rsidRDefault="00DA69FE" w:rsidP="00223312">
            <w:pPr>
              <w:pStyle w:val="ACLAPTableText"/>
            </w:pPr>
            <w:r>
              <w:t>Maximum word length 800</w:t>
            </w:r>
            <w:r w:rsidR="00344964">
              <w:t>.</w:t>
            </w:r>
          </w:p>
        </w:tc>
      </w:tr>
      <w:tr w:rsidR="002E0DD8" w:rsidRPr="004963F3" w14:paraId="236A8700" w14:textId="77777777" w:rsidTr="003161AB">
        <w:trPr>
          <w:trHeight w:val="1294"/>
        </w:trPr>
        <w:tc>
          <w:tcPr>
            <w:tcW w:w="1396" w:type="dxa"/>
            <w:vMerge/>
            <w:shd w:val="clear" w:color="auto" w:fill="auto"/>
            <w:vAlign w:val="center"/>
          </w:tcPr>
          <w:p w14:paraId="54612446" w14:textId="11780A53" w:rsidR="002E0DD8" w:rsidRPr="00F40B4F" w:rsidRDefault="002E0DD8" w:rsidP="002E0DD8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501" w:type="dxa"/>
            <w:shd w:val="clear" w:color="auto" w:fill="auto"/>
          </w:tcPr>
          <w:p w14:paraId="3D6EE693" w14:textId="4D940E60" w:rsidR="00606D55" w:rsidRPr="001764A3" w:rsidRDefault="001764A3" w:rsidP="001764A3">
            <w:pPr>
              <w:rPr>
                <w:b/>
                <w:sz w:val="20"/>
                <w:szCs w:val="20"/>
                <w:u w:val="single"/>
              </w:rPr>
            </w:pPr>
            <w:r w:rsidRPr="001764A3">
              <w:rPr>
                <w:b/>
                <w:sz w:val="20"/>
                <w:szCs w:val="20"/>
                <w:u w:val="single"/>
              </w:rPr>
              <w:t>Topic 3</w:t>
            </w:r>
            <w:r w:rsidR="00FD790F" w:rsidRPr="001764A3">
              <w:rPr>
                <w:b/>
                <w:sz w:val="20"/>
                <w:szCs w:val="20"/>
                <w:u w:val="single"/>
              </w:rPr>
              <w:t>: Warfare</w:t>
            </w:r>
            <w:r w:rsidRPr="001764A3">
              <w:rPr>
                <w:b/>
                <w:sz w:val="20"/>
                <w:szCs w:val="20"/>
                <w:u w:val="single"/>
              </w:rPr>
              <w:t xml:space="preserve"> and conquest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4D2702" w:rsidRPr="001764A3">
              <w:rPr>
                <w:sz w:val="20"/>
                <w:szCs w:val="20"/>
              </w:rPr>
              <w:t>This study will focus on the Ro</w:t>
            </w:r>
            <w:r w:rsidR="00C70019" w:rsidRPr="001764A3">
              <w:rPr>
                <w:sz w:val="20"/>
                <w:szCs w:val="20"/>
              </w:rPr>
              <w:t xml:space="preserve">man Empire’s </w:t>
            </w:r>
            <w:r w:rsidR="00BE70BE" w:rsidRPr="001764A3">
              <w:rPr>
                <w:sz w:val="20"/>
                <w:szCs w:val="20"/>
              </w:rPr>
              <w:t>conquest of Britain</w:t>
            </w:r>
            <w:r w:rsidR="00C70019" w:rsidRPr="001764A3">
              <w:rPr>
                <w:sz w:val="20"/>
                <w:szCs w:val="20"/>
              </w:rPr>
              <w:t xml:space="preserve"> (55BCE to 61 CE)</w:t>
            </w:r>
            <w:r w:rsidR="004D2702" w:rsidRPr="001764A3">
              <w:rPr>
                <w:sz w:val="20"/>
                <w:szCs w:val="20"/>
              </w:rPr>
              <w:t xml:space="preserve"> Students will examine the military tactics of</w:t>
            </w:r>
            <w:r w:rsidR="00BE70BE" w:rsidRPr="001764A3">
              <w:rPr>
                <w:sz w:val="20"/>
                <w:szCs w:val="20"/>
              </w:rPr>
              <w:t xml:space="preserve"> both the Romans’ and Britons’ and t</w:t>
            </w:r>
            <w:r w:rsidR="00C033E0" w:rsidRPr="001764A3">
              <w:rPr>
                <w:sz w:val="20"/>
                <w:szCs w:val="20"/>
              </w:rPr>
              <w:t xml:space="preserve">he rebellion of Boudicca. </w:t>
            </w:r>
            <w:r w:rsidR="004D2702" w:rsidRPr="001764A3">
              <w:rPr>
                <w:sz w:val="20"/>
                <w:szCs w:val="20"/>
              </w:rPr>
              <w:t xml:space="preserve"> They </w:t>
            </w:r>
            <w:r w:rsidR="00C70019" w:rsidRPr="001764A3">
              <w:rPr>
                <w:sz w:val="20"/>
                <w:szCs w:val="20"/>
              </w:rPr>
              <w:t>will analyse, the motivations of the Roma</w:t>
            </w:r>
            <w:r w:rsidR="00C033E0" w:rsidRPr="001764A3">
              <w:rPr>
                <w:sz w:val="20"/>
                <w:szCs w:val="20"/>
              </w:rPr>
              <w:t xml:space="preserve">ns, the impact of colonisation drawing comparison with the impact of </w:t>
            </w:r>
            <w:r w:rsidR="00BE70BE" w:rsidRPr="001764A3">
              <w:rPr>
                <w:sz w:val="20"/>
                <w:szCs w:val="20"/>
              </w:rPr>
              <w:t>colonialism in</w:t>
            </w:r>
            <w:r w:rsidR="00C033E0" w:rsidRPr="001764A3">
              <w:rPr>
                <w:sz w:val="20"/>
                <w:szCs w:val="20"/>
              </w:rPr>
              <w:t xml:space="preserve"> the</w:t>
            </w:r>
            <w:r w:rsidR="00BE70BE" w:rsidRPr="001764A3">
              <w:rPr>
                <w:sz w:val="20"/>
                <w:szCs w:val="20"/>
              </w:rPr>
              <w:t xml:space="preserve"> modern era</w:t>
            </w:r>
            <w:r w:rsidR="00E24F76">
              <w:rPr>
                <w:sz w:val="20"/>
                <w:szCs w:val="20"/>
              </w:rPr>
              <w:t>.</w:t>
            </w:r>
            <w:r w:rsidR="00C70019" w:rsidRPr="001764A3">
              <w:rPr>
                <w:sz w:val="20"/>
                <w:szCs w:val="20"/>
              </w:rPr>
              <w:t xml:space="preserve"> </w:t>
            </w:r>
            <w:r w:rsidR="003D257A" w:rsidRPr="001764A3">
              <w:rPr>
                <w:sz w:val="20"/>
                <w:szCs w:val="20"/>
              </w:rPr>
              <w:t>They w</w:t>
            </w:r>
            <w:r w:rsidR="00654193" w:rsidRPr="001764A3">
              <w:rPr>
                <w:sz w:val="20"/>
                <w:szCs w:val="20"/>
              </w:rPr>
              <w:t xml:space="preserve">ill also examine the role of </w:t>
            </w:r>
            <w:r w:rsidR="003D257A" w:rsidRPr="001764A3">
              <w:rPr>
                <w:sz w:val="20"/>
                <w:szCs w:val="20"/>
              </w:rPr>
              <w:t xml:space="preserve">historical fiction </w:t>
            </w:r>
            <w:r w:rsidR="00654193" w:rsidRPr="001764A3">
              <w:rPr>
                <w:sz w:val="20"/>
                <w:szCs w:val="20"/>
              </w:rPr>
              <w:t>in influencing understandings of history.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80DC5" w14:textId="0615F7C2" w:rsidR="002E0DD8" w:rsidRPr="00344964" w:rsidRDefault="00DA69FE" w:rsidP="002E0DD8">
            <w:pPr>
              <w:pStyle w:val="ACLAPTableText"/>
              <w:rPr>
                <w:lang w:val="en-US"/>
              </w:rPr>
            </w:pPr>
            <w:r w:rsidRPr="00344964">
              <w:rPr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5375A" w14:textId="4F155448" w:rsidR="002E0DD8" w:rsidRPr="00344964" w:rsidRDefault="002E0DD8" w:rsidP="002E0DD8">
            <w:pPr>
              <w:pStyle w:val="ACLAPTableText"/>
              <w:rPr>
                <w:lang w:val="en-US"/>
              </w:rPr>
            </w:pPr>
            <w:r w:rsidRPr="00344964">
              <w:rPr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94A0A" w14:textId="1FFB3570" w:rsidR="002E0DD8" w:rsidRPr="00344964" w:rsidRDefault="00344964" w:rsidP="002E0DD8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</w:t>
            </w:r>
            <w:r w:rsidR="00DA69FE" w:rsidRPr="00344964">
              <w:rPr>
                <w:lang w:val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67AB4E09" w14:textId="210AEAA4" w:rsidR="002E0DD8" w:rsidRDefault="00C70019" w:rsidP="002E0DD8">
            <w:pPr>
              <w:pStyle w:val="ACLAPTableText"/>
            </w:pPr>
            <w:r>
              <w:t>Students will write a creative response. This can take the form of an interview with a ‘person’ from this period; a scripted role play, narrative</w:t>
            </w:r>
            <w:r w:rsidR="00BE70BE">
              <w:t>, the outline of a video game,</w:t>
            </w:r>
            <w:r>
              <w:t xml:space="preserve"> or other form negotiated with the teacher.</w:t>
            </w:r>
          </w:p>
          <w:p w14:paraId="254D5960" w14:textId="3D56F4AB" w:rsidR="00C70019" w:rsidRPr="00E04C9B" w:rsidRDefault="00C70019" w:rsidP="002E0DD8">
            <w:pPr>
              <w:pStyle w:val="ACLAPTableText"/>
            </w:pPr>
            <w:r>
              <w:t>Maximum word length 800</w:t>
            </w:r>
            <w:r w:rsidR="00344964">
              <w:t>.</w:t>
            </w:r>
          </w:p>
        </w:tc>
      </w:tr>
      <w:tr w:rsidR="00757FA8" w:rsidRPr="004963F3" w14:paraId="0D9F3DD4" w14:textId="77777777" w:rsidTr="003161AB">
        <w:trPr>
          <w:trHeight w:val="1385"/>
        </w:trPr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E157B" w14:textId="40F56FA7" w:rsidR="00757FA8" w:rsidRPr="003161AB" w:rsidRDefault="00757FA8" w:rsidP="00316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1" w:type="dxa"/>
            <w:tcBorders>
              <w:top w:val="single" w:sz="12" w:space="0" w:color="auto"/>
            </w:tcBorders>
            <w:shd w:val="clear" w:color="auto" w:fill="auto"/>
          </w:tcPr>
          <w:p w14:paraId="1FDABEAA" w14:textId="1FA3DEE0" w:rsidR="00757FA8" w:rsidRPr="001764A3" w:rsidRDefault="001764A3" w:rsidP="003161AB">
            <w:pPr>
              <w:rPr>
                <w:b/>
                <w:sz w:val="20"/>
                <w:szCs w:val="20"/>
                <w:u w:val="single"/>
              </w:rPr>
            </w:pPr>
            <w:r w:rsidRPr="001764A3">
              <w:rPr>
                <w:b/>
                <w:sz w:val="20"/>
                <w:szCs w:val="20"/>
                <w:u w:val="single"/>
              </w:rPr>
              <w:t>Topic 1: Understanding Ancient History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757FA8" w:rsidRPr="001764A3">
              <w:rPr>
                <w:sz w:val="20"/>
                <w:szCs w:val="20"/>
              </w:rPr>
              <w:t xml:space="preserve">An examination of the artefacts that inform us of the Mayan civilisation with particular reference to the Zapotec Period (approximately: 800-600BCE) Students will examine the </w:t>
            </w:r>
            <w:r w:rsidR="00BE70BE" w:rsidRPr="001764A3">
              <w:rPr>
                <w:sz w:val="20"/>
                <w:szCs w:val="20"/>
              </w:rPr>
              <w:t xml:space="preserve">art </w:t>
            </w:r>
            <w:r w:rsidR="003161AB">
              <w:rPr>
                <w:sz w:val="20"/>
                <w:szCs w:val="20"/>
              </w:rPr>
              <w:t>and</w:t>
            </w:r>
            <w:r w:rsidR="00BE70BE" w:rsidRPr="001764A3">
              <w:rPr>
                <w:sz w:val="20"/>
                <w:szCs w:val="20"/>
              </w:rPr>
              <w:t xml:space="preserve"> architecture of the Valley of Oaxaca</w:t>
            </w:r>
            <w:r w:rsidR="00757FA8" w:rsidRPr="001764A3">
              <w:rPr>
                <w:sz w:val="20"/>
                <w:szCs w:val="20"/>
              </w:rPr>
              <w:t>. Students will consider the impact of tourism and the role of museum</w:t>
            </w:r>
            <w:r w:rsidR="00BE70BE" w:rsidRPr="001764A3">
              <w:rPr>
                <w:sz w:val="20"/>
                <w:szCs w:val="20"/>
              </w:rPr>
              <w:t>s</w:t>
            </w:r>
            <w:r w:rsidR="00757FA8" w:rsidRPr="001764A3">
              <w:rPr>
                <w:sz w:val="20"/>
                <w:szCs w:val="20"/>
              </w:rPr>
              <w:t xml:space="preserve"> in the study of this culture and the ethical questions that arise from this.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D15555" w14:textId="033DCF26" w:rsidR="00757FA8" w:rsidRPr="00344964" w:rsidRDefault="00344964" w:rsidP="002E0DD8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</w:t>
            </w:r>
            <w:r w:rsidR="00757FA8" w:rsidRPr="00344964"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C352A0" w14:textId="0D2142C2" w:rsidR="00757FA8" w:rsidRPr="00344964" w:rsidRDefault="00757FA8" w:rsidP="002E0DD8">
            <w:pPr>
              <w:pStyle w:val="ACLAPTableText"/>
              <w:rPr>
                <w:lang w:val="en-US"/>
              </w:rPr>
            </w:pPr>
            <w:r w:rsidRPr="00344964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45BF88" w14:textId="48A65779" w:rsidR="00757FA8" w:rsidRPr="00344964" w:rsidRDefault="00757FA8" w:rsidP="002E0DD8">
            <w:pPr>
              <w:pStyle w:val="ACLAPTableText"/>
              <w:rPr>
                <w:lang w:val="en-US"/>
              </w:rPr>
            </w:pPr>
            <w:r w:rsidRPr="00344964">
              <w:rPr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14:paraId="1F66FDB7" w14:textId="6F23EA28" w:rsidR="00757FA8" w:rsidRDefault="00757FA8" w:rsidP="00757FA8">
            <w:pPr>
              <w:pStyle w:val="ACLAPTableText"/>
            </w:pPr>
            <w:r>
              <w:t>Students will present a multimedia report on one or more of the sites in the valley of Oaxaca. Students may work in pairs to assist in the creation of a documentary presenta</w:t>
            </w:r>
            <w:r w:rsidR="003161AB">
              <w:t>tion for radio or visual media.</w:t>
            </w:r>
          </w:p>
          <w:p w14:paraId="28D1A477" w14:textId="0F4AA2DF" w:rsidR="00757FA8" w:rsidRPr="00995503" w:rsidRDefault="00757FA8" w:rsidP="00757FA8">
            <w:pPr>
              <w:pStyle w:val="ACLAPTableText"/>
            </w:pPr>
            <w:r>
              <w:t>Maximum time length 5 minutes</w:t>
            </w:r>
            <w:r w:rsidR="00344964">
              <w:t>.</w:t>
            </w:r>
          </w:p>
        </w:tc>
      </w:tr>
      <w:tr w:rsidR="00757FA8" w:rsidRPr="004963F3" w14:paraId="21A66353" w14:textId="77777777" w:rsidTr="003161AB">
        <w:trPr>
          <w:trHeight w:val="1465"/>
        </w:trPr>
        <w:tc>
          <w:tcPr>
            <w:tcW w:w="1396" w:type="dxa"/>
            <w:shd w:val="clear" w:color="auto" w:fill="auto"/>
            <w:vAlign w:val="center"/>
          </w:tcPr>
          <w:p w14:paraId="3FA7ACC2" w14:textId="6C115D9B" w:rsidR="00757FA8" w:rsidRPr="00F40B4F" w:rsidRDefault="00DA69FE" w:rsidP="00E24F76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Inquiry</w:t>
            </w:r>
          </w:p>
          <w:p w14:paraId="1E9B6A91" w14:textId="77777777" w:rsidR="00757FA8" w:rsidRPr="00F40B4F" w:rsidRDefault="00757FA8" w:rsidP="002E0DD8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</w:p>
          <w:p w14:paraId="4B53F938" w14:textId="251C046B" w:rsidR="00757FA8" w:rsidRPr="00DA69FE" w:rsidRDefault="00DA69FE" w:rsidP="002E0DD8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 w:rsidR="00757FA8" w:rsidRPr="00DA69FE">
              <w:rPr>
                <w:b/>
                <w:lang w:val="en-US"/>
              </w:rPr>
              <w:t>%</w:t>
            </w:r>
          </w:p>
        </w:tc>
        <w:tc>
          <w:tcPr>
            <w:tcW w:w="7501" w:type="dxa"/>
            <w:shd w:val="clear" w:color="auto" w:fill="auto"/>
          </w:tcPr>
          <w:p w14:paraId="6F8CAA30" w14:textId="63B1EC77" w:rsidR="00757FA8" w:rsidRPr="00E24F76" w:rsidRDefault="00DA69FE" w:rsidP="00E24F76">
            <w:pPr>
              <w:rPr>
                <w:sz w:val="20"/>
                <w:szCs w:val="20"/>
                <w:lang w:val="en-US"/>
              </w:rPr>
            </w:pPr>
            <w:r w:rsidRPr="00E24F76">
              <w:rPr>
                <w:sz w:val="20"/>
                <w:szCs w:val="20"/>
                <w:lang w:val="en-US"/>
              </w:rPr>
              <w:t xml:space="preserve">Students will investigate an aspect of the Ancient World of their choosing. This can be an extension of a </w:t>
            </w:r>
            <w:r w:rsidR="00FD790F">
              <w:rPr>
                <w:sz w:val="20"/>
                <w:szCs w:val="20"/>
                <w:lang w:val="en-US"/>
              </w:rPr>
              <w:t>topic studied in class, and they’ll</w:t>
            </w:r>
            <w:r w:rsidRPr="00E24F76">
              <w:rPr>
                <w:sz w:val="20"/>
                <w:szCs w:val="20"/>
                <w:lang w:val="en-US"/>
              </w:rPr>
              <w:t xml:space="preserve"> w</w:t>
            </w:r>
            <w:r w:rsidR="00FD790F">
              <w:rPr>
                <w:sz w:val="20"/>
                <w:szCs w:val="20"/>
                <w:lang w:val="en-US"/>
              </w:rPr>
              <w:t xml:space="preserve">ill conduct individual research </w:t>
            </w:r>
            <w:r w:rsidRPr="00E24F76">
              <w:rPr>
                <w:sz w:val="20"/>
                <w:szCs w:val="20"/>
                <w:lang w:val="en-US"/>
              </w:rPr>
              <w:t xml:space="preserve">into their topic and devise an essay </w:t>
            </w:r>
            <w:r w:rsidR="00594CDB" w:rsidRPr="00E24F76">
              <w:rPr>
                <w:sz w:val="20"/>
                <w:szCs w:val="20"/>
                <w:lang w:val="en-US"/>
              </w:rPr>
              <w:t>question i</w:t>
            </w:r>
            <w:r w:rsidR="003161AB">
              <w:rPr>
                <w:sz w:val="20"/>
                <w:szCs w:val="20"/>
                <w:lang w:val="en-US"/>
              </w:rPr>
              <w:t>n negotiation with the teacher.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64D0C" w14:textId="015404D9" w:rsidR="00757FA8" w:rsidRPr="00344964" w:rsidRDefault="00344964" w:rsidP="002E0DD8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</w:t>
            </w:r>
            <w:r w:rsidR="00DA69FE" w:rsidRPr="00344964">
              <w:rPr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27792" w14:textId="7E4E7D0A" w:rsidR="00757FA8" w:rsidRPr="00344964" w:rsidRDefault="00344964" w:rsidP="002E0DD8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421772" w14:textId="221D04A0" w:rsidR="00757FA8" w:rsidRPr="00344964" w:rsidRDefault="00344964" w:rsidP="002E0DD8">
            <w:pPr>
              <w:pStyle w:val="ACLAPTableText"/>
              <w:rPr>
                <w:lang w:val="en-US"/>
              </w:rPr>
            </w:pPr>
            <w:r w:rsidRPr="00344964">
              <w:rPr>
                <w:lang w:val="en-US"/>
              </w:rPr>
              <w:t>1,</w:t>
            </w:r>
            <w:r w:rsidR="00DA69FE" w:rsidRPr="00344964">
              <w:rPr>
                <w:lang w:val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34D495BA" w14:textId="727A2BDB" w:rsidR="00757FA8" w:rsidRPr="00761E0C" w:rsidRDefault="00757FA8" w:rsidP="002E0DD8">
            <w:pPr>
              <w:pStyle w:val="ACLAPTableText"/>
            </w:pPr>
            <w:r>
              <w:t xml:space="preserve">Students will write a formal essay incorporating both primary and secondary </w:t>
            </w:r>
            <w:r w:rsidR="00BE70BE">
              <w:t xml:space="preserve">sources which must be </w:t>
            </w:r>
            <w:r>
              <w:t xml:space="preserve">referenced. The essay </w:t>
            </w:r>
            <w:r w:rsidR="00534441">
              <w:t>is to</w:t>
            </w:r>
            <w:r>
              <w:t xml:space="preserve"> be</w:t>
            </w:r>
            <w:r w:rsidR="003161AB">
              <w:t xml:space="preserve"> accompanied by a bibliography.</w:t>
            </w:r>
          </w:p>
          <w:p w14:paraId="1981BFC3" w14:textId="60951369" w:rsidR="00757FA8" w:rsidRPr="00594CDB" w:rsidRDefault="00594CDB" w:rsidP="002E0DD8">
            <w:pPr>
              <w:pStyle w:val="ACLAPTableText"/>
            </w:pPr>
            <w:r>
              <w:t>Maximum word length 1000</w:t>
            </w:r>
            <w:r w:rsidR="00BC4EB0">
              <w:t xml:space="preserve"> </w:t>
            </w:r>
            <w:r w:rsidR="00534441">
              <w:t>or equivalent.</w:t>
            </w:r>
          </w:p>
        </w:tc>
      </w:tr>
    </w:tbl>
    <w:p w14:paraId="073D2592" w14:textId="77777777" w:rsidR="002E0DD8" w:rsidRPr="00A45A49" w:rsidRDefault="002E0DD8" w:rsidP="002E0DD8"/>
    <w:p w14:paraId="2348A704" w14:textId="18F68DD9" w:rsidR="005B4E30" w:rsidRPr="003161AB" w:rsidRDefault="002E0DD8">
      <w:pPr>
        <w:rPr>
          <w:rFonts w:cs="Arial"/>
          <w:i/>
          <w:iCs/>
          <w:sz w:val="20"/>
          <w:szCs w:val="20"/>
          <w:lang w:val="en-US"/>
        </w:rPr>
      </w:pPr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Four assessments.</w:t>
      </w:r>
      <w:proofErr w:type="gram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r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>
        <w:rPr>
          <w:rFonts w:cs="Arial"/>
          <w:i/>
          <w:iCs/>
          <w:sz w:val="20"/>
          <w:szCs w:val="20"/>
          <w:lang w:val="en-US"/>
        </w:rPr>
        <w:t xml:space="preserve"> Stage 1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>
        <w:rPr>
          <w:rFonts w:cs="Arial"/>
          <w:i/>
          <w:iCs/>
          <w:sz w:val="20"/>
          <w:szCs w:val="20"/>
          <w:lang w:val="en-US"/>
        </w:rPr>
        <w:t>Ancient Studies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>
        <w:rPr>
          <w:rFonts w:cs="Arial"/>
          <w:i/>
          <w:iCs/>
          <w:sz w:val="20"/>
          <w:szCs w:val="20"/>
          <w:lang w:val="en-US"/>
        </w:rPr>
        <w:t>subject outline</w:t>
      </w:r>
      <w:r w:rsidRPr="004963F3">
        <w:rPr>
          <w:rFonts w:cs="Arial"/>
          <w:i/>
          <w:iCs/>
          <w:sz w:val="20"/>
          <w:szCs w:val="20"/>
          <w:lang w:val="en-US"/>
        </w:rPr>
        <w:t>.</w:t>
      </w:r>
    </w:p>
    <w:sectPr w:rsidR="005B4E30" w:rsidRPr="003161AB" w:rsidSect="002E0DD8">
      <w:headerReference w:type="first" r:id="rId14"/>
      <w:footerReference w:type="first" r:id="rId15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AB997" w14:textId="77777777" w:rsidR="00987200" w:rsidRDefault="00987200">
      <w:r>
        <w:separator/>
      </w:r>
    </w:p>
  </w:endnote>
  <w:endnote w:type="continuationSeparator" w:id="0">
    <w:p w14:paraId="7E672623" w14:textId="77777777" w:rsidR="00987200" w:rsidRDefault="0098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E5EE3" w14:textId="77777777" w:rsidR="00850A8E" w:rsidRDefault="00850A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9EAD1" w14:textId="77777777" w:rsidR="00850A8E" w:rsidRDefault="00850A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BAA63" w14:textId="77777777" w:rsidR="00C033E0" w:rsidRPr="00D732EE" w:rsidRDefault="00C033E0" w:rsidP="002E0DD8">
    <w:pPr>
      <w:pStyle w:val="LAPFooter"/>
      <w:tabs>
        <w:tab w:val="clear" w:pos="9639"/>
        <w:tab w:val="right" w:pos="10206"/>
      </w:tabs>
    </w:pPr>
    <w:r w:rsidRPr="00D732EE">
      <w:tab/>
    </w:r>
    <w:r w:rsidRPr="00D732EE">
      <w:tab/>
    </w:r>
    <w:r w:rsidRPr="00D732EE">
      <w:fldChar w:fldCharType="begin"/>
    </w:r>
    <w:r w:rsidRPr="00D732EE">
      <w:instrText xml:space="preserve"> PAGE  \* MERGEFORMAT </w:instrText>
    </w:r>
    <w:r w:rsidRPr="00D732EE">
      <w:fldChar w:fldCharType="separate"/>
    </w:r>
    <w:r w:rsidR="00850A8E">
      <w:rPr>
        <w:noProof/>
      </w:rPr>
      <w:t>1</w:t>
    </w:r>
    <w:r w:rsidRPr="00D732EE">
      <w:fldChar w:fldCharType="end"/>
    </w:r>
    <w:r w:rsidRPr="00D732EE">
      <w:t xml:space="preserve"> of </w:t>
    </w:r>
    <w:fldSimple w:instr=" NUMPAGES  \* MERGEFORMAT ">
      <w:r w:rsidR="00850A8E">
        <w:rPr>
          <w:noProof/>
        </w:rPr>
        <w:t>2</w:t>
      </w:r>
    </w:fldSimple>
  </w:p>
  <w:p w14:paraId="2FE46A2A" w14:textId="58B92C22" w:rsidR="00C033E0" w:rsidRDefault="00C033E0" w:rsidP="00850A8E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850A8E">
      <w:rPr>
        <w:noProof/>
      </w:rPr>
      <w:t>1</w:t>
    </w:r>
    <w:r w:rsidRPr="00D128A8">
      <w:fldChar w:fldCharType="end"/>
    </w:r>
    <w:r w:rsidRPr="00D128A8">
      <w:t xml:space="preserve"> of </w:t>
    </w:r>
    <w:r w:rsidR="002922B1">
      <w:fldChar w:fldCharType="begin"/>
    </w:r>
    <w:r w:rsidR="002922B1">
      <w:instrText xml:space="preserve"> NUMPAGES </w:instrText>
    </w:r>
    <w:r w:rsidR="002922B1">
      <w:fldChar w:fldCharType="separate"/>
    </w:r>
    <w:r w:rsidR="00850A8E">
      <w:rPr>
        <w:noProof/>
      </w:rPr>
      <w:t>2</w:t>
    </w:r>
    <w:r w:rsidR="002922B1">
      <w:rPr>
        <w:noProof/>
      </w:rPr>
      <w:fldChar w:fldCharType="end"/>
    </w:r>
    <w:r>
      <w:rPr>
        <w:sz w:val="18"/>
      </w:rPr>
      <w:tab/>
    </w:r>
    <w:r>
      <w:t xml:space="preserve">Stage 1 Ancient Studies pre-approved </w:t>
    </w:r>
    <w:r w:rsidR="00850A8E">
      <w:t>LAP-03</w:t>
    </w:r>
    <w:r>
      <w:t xml:space="preserve"> (for use from 2017)</w:t>
    </w:r>
  </w:p>
  <w:p w14:paraId="68C98AB2" w14:textId="5B63A090" w:rsidR="00C033E0" w:rsidRPr="00AD3BD3" w:rsidRDefault="00C033E0" w:rsidP="00850A8E">
    <w:pPr>
      <w:pStyle w:val="LAPFooter"/>
      <w:tabs>
        <w:tab w:val="clear" w:pos="9639"/>
        <w:tab w:val="right" w:pos="10206"/>
      </w:tabs>
    </w:pPr>
    <w:r w:rsidRPr="00AD3BD3">
      <w:tab/>
      <w:t>Ref:</w:t>
    </w:r>
    <w:r w:rsidR="00850A8E">
      <w:t xml:space="preserve"> </w:t>
    </w:r>
    <w:r w:rsidR="00850A8E" w:rsidRPr="00850A8E">
      <w:fldChar w:fldCharType="begin"/>
    </w:r>
    <w:r w:rsidR="00850A8E" w:rsidRPr="00850A8E">
      <w:instrText xml:space="preserve"> DOCPROPERTY  Objective-Id  \* MERGEFORMAT </w:instrText>
    </w:r>
    <w:r w:rsidR="00850A8E" w:rsidRPr="00850A8E">
      <w:fldChar w:fldCharType="separate"/>
    </w:r>
    <w:r w:rsidR="00850A8E" w:rsidRPr="00850A8E">
      <w:t>A560456</w:t>
    </w:r>
    <w:r w:rsidR="00850A8E" w:rsidRPr="00850A8E">
      <w:fldChar w:fldCharType="end"/>
    </w:r>
    <w:r w:rsidR="00850A8E" w:rsidRPr="00850A8E">
      <w:t xml:space="preserve"> </w:t>
    </w:r>
    <w:r w:rsidRPr="00AD3BD3">
      <w:t xml:space="preserve"> (</w:t>
    </w:r>
    <w:r w:rsidR="00850A8E">
      <w:t>26 September 2016</w:t>
    </w:r>
    <w:r>
      <w:t>)</w:t>
    </w:r>
  </w:p>
  <w:p w14:paraId="16DACCC5" w14:textId="77777777" w:rsidR="00C033E0" w:rsidRPr="001E7C19" w:rsidRDefault="00C033E0" w:rsidP="002E0DD8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D2F26" w14:textId="45CD6B76" w:rsidR="00C033E0" w:rsidRDefault="00C033E0" w:rsidP="00850A8E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850A8E">
      <w:rPr>
        <w:noProof/>
      </w:rPr>
      <w:t>2</w:t>
    </w:r>
    <w:r w:rsidRPr="00D128A8">
      <w:fldChar w:fldCharType="end"/>
    </w:r>
    <w:r w:rsidRPr="00D128A8">
      <w:t xml:space="preserve"> of </w:t>
    </w:r>
    <w:r w:rsidR="002922B1">
      <w:fldChar w:fldCharType="begin"/>
    </w:r>
    <w:r w:rsidR="002922B1">
      <w:instrText xml:space="preserve"> NUMPAGES </w:instrText>
    </w:r>
    <w:r w:rsidR="002922B1">
      <w:fldChar w:fldCharType="separate"/>
    </w:r>
    <w:r w:rsidR="00850A8E">
      <w:rPr>
        <w:noProof/>
      </w:rPr>
      <w:t>2</w:t>
    </w:r>
    <w:r w:rsidR="002922B1">
      <w:rPr>
        <w:noProof/>
      </w:rPr>
      <w:fldChar w:fldCharType="end"/>
    </w:r>
    <w:r>
      <w:rPr>
        <w:sz w:val="18"/>
      </w:rPr>
      <w:tab/>
    </w:r>
    <w:r>
      <w:t xml:space="preserve">Stage 1 Ancient Studies pre-approved </w:t>
    </w:r>
    <w:r w:rsidR="00850A8E">
      <w:t xml:space="preserve">LAP-03 </w:t>
    </w:r>
    <w:bookmarkStart w:id="0" w:name="_GoBack"/>
    <w:bookmarkEnd w:id="0"/>
    <w:r>
      <w:t>(for use from 2017)</w:t>
    </w:r>
  </w:p>
  <w:p w14:paraId="1A56979A" w14:textId="77777777" w:rsidR="00C033E0" w:rsidRPr="00AD3BD3" w:rsidRDefault="00C033E0" w:rsidP="002E0DD8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fldSimple w:instr=" DOCPROPERTY  Objective-Id  \* MERGEFORMAT ">
      <w:r w:rsidR="00850A8E" w:rsidRPr="00850A8E">
        <w:t>A560456</w:t>
      </w:r>
    </w:fldSimple>
    <w:r w:rsidRPr="00850A8E">
      <w:t xml:space="preserve"> </w:t>
    </w:r>
    <w:r w:rsidRPr="00AD3BD3">
      <w:t>(</w:t>
    </w:r>
    <w:r>
      <w:t>created December 2016)</w:t>
    </w:r>
  </w:p>
  <w:p w14:paraId="0702BDC6" w14:textId="77777777" w:rsidR="00C033E0" w:rsidRPr="002166A4" w:rsidRDefault="00C033E0" w:rsidP="002E0DD8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F7671" w14:textId="77777777" w:rsidR="00987200" w:rsidRDefault="00987200">
      <w:r>
        <w:separator/>
      </w:r>
    </w:p>
  </w:footnote>
  <w:footnote w:type="continuationSeparator" w:id="0">
    <w:p w14:paraId="14130D59" w14:textId="77777777" w:rsidR="00987200" w:rsidRDefault="00987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03FA8" w14:textId="77777777" w:rsidR="00850A8E" w:rsidRDefault="00850A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3BB59" w14:textId="77777777" w:rsidR="00850A8E" w:rsidRDefault="00850A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C0066" w14:textId="77777777" w:rsidR="00C033E0" w:rsidRDefault="00987200">
    <w:pPr>
      <w:pStyle w:val="Header"/>
    </w:pPr>
    <w:r>
      <w:rPr>
        <w:caps/>
        <w:sz w:val="32"/>
        <w:szCs w:val="32"/>
      </w:rPr>
      <w:pict w14:anchorId="2AF12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15pt;height:47.7pt">
          <v:imagedata r:id="rId1" o:title="SACEBoard_co-brand_logo"/>
          <o:lock v:ext="edit" aspectratio="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94A3D" w14:textId="77777777" w:rsidR="00C033E0" w:rsidRDefault="00C033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DC6"/>
    <w:multiLevelType w:val="hybridMultilevel"/>
    <w:tmpl w:val="0FB02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C7E7D"/>
    <w:multiLevelType w:val="hybridMultilevel"/>
    <w:tmpl w:val="96CCB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4D3A60"/>
    <w:multiLevelType w:val="hybridMultilevel"/>
    <w:tmpl w:val="8C2C1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D8"/>
    <w:rsid w:val="00032630"/>
    <w:rsid w:val="000926C5"/>
    <w:rsid w:val="00133F8C"/>
    <w:rsid w:val="00142E4E"/>
    <w:rsid w:val="001764A3"/>
    <w:rsid w:val="00223312"/>
    <w:rsid w:val="002922B1"/>
    <w:rsid w:val="002E0DD8"/>
    <w:rsid w:val="003161AB"/>
    <w:rsid w:val="00344964"/>
    <w:rsid w:val="003845A0"/>
    <w:rsid w:val="003D257A"/>
    <w:rsid w:val="00451B23"/>
    <w:rsid w:val="00485493"/>
    <w:rsid w:val="004D2702"/>
    <w:rsid w:val="00534441"/>
    <w:rsid w:val="00575F5B"/>
    <w:rsid w:val="00594CDB"/>
    <w:rsid w:val="005B4E30"/>
    <w:rsid w:val="005F79C1"/>
    <w:rsid w:val="00606D55"/>
    <w:rsid w:val="00654193"/>
    <w:rsid w:val="00717FDF"/>
    <w:rsid w:val="00757FA8"/>
    <w:rsid w:val="00824FA5"/>
    <w:rsid w:val="00850A8E"/>
    <w:rsid w:val="008B0F89"/>
    <w:rsid w:val="008C5FAD"/>
    <w:rsid w:val="00987200"/>
    <w:rsid w:val="00A0770D"/>
    <w:rsid w:val="00A449E8"/>
    <w:rsid w:val="00A46D3D"/>
    <w:rsid w:val="00A70C44"/>
    <w:rsid w:val="00A93D0A"/>
    <w:rsid w:val="00B565C1"/>
    <w:rsid w:val="00BB001A"/>
    <w:rsid w:val="00BC4EB0"/>
    <w:rsid w:val="00BE70BE"/>
    <w:rsid w:val="00BF7146"/>
    <w:rsid w:val="00C033E0"/>
    <w:rsid w:val="00C70019"/>
    <w:rsid w:val="00DA69FE"/>
    <w:rsid w:val="00E24F76"/>
    <w:rsid w:val="00E33AEB"/>
    <w:rsid w:val="00F77962"/>
    <w:rsid w:val="00F85156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490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D8"/>
    <w:rPr>
      <w:rFonts w:ascii="Arial" w:eastAsia="SimSun" w:hAnsi="Arial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0DD8"/>
    <w:pPr>
      <w:tabs>
        <w:tab w:val="center" w:pos="4153"/>
        <w:tab w:val="right" w:pos="8306"/>
      </w:tabs>
    </w:pPr>
    <w:rPr>
      <w:sz w:val="22"/>
      <w:lang w:eastAsia="en-AU"/>
    </w:rPr>
  </w:style>
  <w:style w:type="character" w:customStyle="1" w:styleId="HeaderChar">
    <w:name w:val="Header Char"/>
    <w:basedOn w:val="DefaultParagraphFont"/>
    <w:link w:val="Header"/>
    <w:rsid w:val="002E0DD8"/>
    <w:rPr>
      <w:rFonts w:ascii="Arial" w:eastAsia="SimSun" w:hAnsi="Arial" w:cs="Times New Roman"/>
      <w:sz w:val="22"/>
      <w:lang w:val="en-AU" w:eastAsia="en-AU"/>
    </w:rPr>
  </w:style>
  <w:style w:type="paragraph" w:styleId="Footer">
    <w:name w:val="footer"/>
    <w:aliases w:val="footnote"/>
    <w:basedOn w:val="Normal"/>
    <w:link w:val="FooterChar"/>
    <w:rsid w:val="002E0DD8"/>
    <w:pPr>
      <w:tabs>
        <w:tab w:val="center" w:pos="4153"/>
        <w:tab w:val="right" w:pos="8306"/>
      </w:tabs>
    </w:pPr>
    <w:rPr>
      <w:sz w:val="22"/>
      <w:lang w:eastAsia="en-AU"/>
    </w:rPr>
  </w:style>
  <w:style w:type="character" w:customStyle="1" w:styleId="FooterChar">
    <w:name w:val="Footer Char"/>
    <w:aliases w:val="footnote Char"/>
    <w:basedOn w:val="DefaultParagraphFont"/>
    <w:link w:val="Footer"/>
    <w:rsid w:val="002E0DD8"/>
    <w:rPr>
      <w:rFonts w:ascii="Arial" w:eastAsia="SimSun" w:hAnsi="Arial" w:cs="Times New Roman"/>
      <w:sz w:val="22"/>
      <w:lang w:val="en-AU" w:eastAsia="en-AU"/>
    </w:rPr>
  </w:style>
  <w:style w:type="paragraph" w:customStyle="1" w:styleId="LAPFooter">
    <w:name w:val="LAP Footer"/>
    <w:next w:val="Normal"/>
    <w:qFormat/>
    <w:rsid w:val="002E0DD8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eastAsia="en-AU"/>
    </w:rPr>
  </w:style>
  <w:style w:type="paragraph" w:customStyle="1" w:styleId="LAPTableText">
    <w:name w:val="LAP Table Text"/>
    <w:next w:val="Normal"/>
    <w:qFormat/>
    <w:rsid w:val="002E0DD8"/>
    <w:pPr>
      <w:spacing w:before="40" w:after="40"/>
    </w:pPr>
    <w:rPr>
      <w:rFonts w:ascii="Arial" w:eastAsia="SimSun" w:hAnsi="Arial" w:cs="Arial"/>
      <w:sz w:val="18"/>
      <w:szCs w:val="18"/>
      <w:lang w:val="en-AU"/>
    </w:rPr>
  </w:style>
  <w:style w:type="paragraph" w:customStyle="1" w:styleId="ACLAPTableText">
    <w:name w:val="AC LAP Table Text"/>
    <w:qFormat/>
    <w:rsid w:val="002E0DD8"/>
    <w:pPr>
      <w:spacing w:before="40" w:after="40"/>
    </w:pPr>
    <w:rPr>
      <w:rFonts w:ascii="Arial" w:eastAsia="Calibri" w:hAnsi="Arial" w:cs="Arial"/>
      <w:sz w:val="20"/>
      <w:szCs w:val="20"/>
      <w:lang w:val="en-AU"/>
    </w:rPr>
  </w:style>
  <w:style w:type="paragraph" w:customStyle="1" w:styleId="LAPHeading">
    <w:name w:val="LAP Heading"/>
    <w:qFormat/>
    <w:rsid w:val="002E0DD8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  <w:lang w:val="en-AU" w:eastAsia="en-AU"/>
    </w:rPr>
  </w:style>
  <w:style w:type="character" w:customStyle="1" w:styleId="st">
    <w:name w:val="st"/>
    <w:rsid w:val="002E0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D8"/>
    <w:rPr>
      <w:rFonts w:ascii="Arial" w:eastAsia="SimSun" w:hAnsi="Arial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0DD8"/>
    <w:pPr>
      <w:tabs>
        <w:tab w:val="center" w:pos="4153"/>
        <w:tab w:val="right" w:pos="8306"/>
      </w:tabs>
    </w:pPr>
    <w:rPr>
      <w:sz w:val="22"/>
      <w:lang w:eastAsia="en-AU"/>
    </w:rPr>
  </w:style>
  <w:style w:type="character" w:customStyle="1" w:styleId="HeaderChar">
    <w:name w:val="Header Char"/>
    <w:basedOn w:val="DefaultParagraphFont"/>
    <w:link w:val="Header"/>
    <w:rsid w:val="002E0DD8"/>
    <w:rPr>
      <w:rFonts w:ascii="Arial" w:eastAsia="SimSun" w:hAnsi="Arial" w:cs="Times New Roman"/>
      <w:sz w:val="22"/>
      <w:lang w:val="en-AU" w:eastAsia="en-AU"/>
    </w:rPr>
  </w:style>
  <w:style w:type="paragraph" w:styleId="Footer">
    <w:name w:val="footer"/>
    <w:aliases w:val="footnote"/>
    <w:basedOn w:val="Normal"/>
    <w:link w:val="FooterChar"/>
    <w:rsid w:val="002E0DD8"/>
    <w:pPr>
      <w:tabs>
        <w:tab w:val="center" w:pos="4153"/>
        <w:tab w:val="right" w:pos="8306"/>
      </w:tabs>
    </w:pPr>
    <w:rPr>
      <w:sz w:val="22"/>
      <w:lang w:eastAsia="en-AU"/>
    </w:rPr>
  </w:style>
  <w:style w:type="character" w:customStyle="1" w:styleId="FooterChar">
    <w:name w:val="Footer Char"/>
    <w:aliases w:val="footnote Char"/>
    <w:basedOn w:val="DefaultParagraphFont"/>
    <w:link w:val="Footer"/>
    <w:rsid w:val="002E0DD8"/>
    <w:rPr>
      <w:rFonts w:ascii="Arial" w:eastAsia="SimSun" w:hAnsi="Arial" w:cs="Times New Roman"/>
      <w:sz w:val="22"/>
      <w:lang w:val="en-AU" w:eastAsia="en-AU"/>
    </w:rPr>
  </w:style>
  <w:style w:type="paragraph" w:customStyle="1" w:styleId="LAPFooter">
    <w:name w:val="LAP Footer"/>
    <w:next w:val="Normal"/>
    <w:qFormat/>
    <w:rsid w:val="002E0DD8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eastAsia="en-AU"/>
    </w:rPr>
  </w:style>
  <w:style w:type="paragraph" w:customStyle="1" w:styleId="LAPTableText">
    <w:name w:val="LAP Table Text"/>
    <w:next w:val="Normal"/>
    <w:qFormat/>
    <w:rsid w:val="002E0DD8"/>
    <w:pPr>
      <w:spacing w:before="40" w:after="40"/>
    </w:pPr>
    <w:rPr>
      <w:rFonts w:ascii="Arial" w:eastAsia="SimSun" w:hAnsi="Arial" w:cs="Arial"/>
      <w:sz w:val="18"/>
      <w:szCs w:val="18"/>
      <w:lang w:val="en-AU"/>
    </w:rPr>
  </w:style>
  <w:style w:type="paragraph" w:customStyle="1" w:styleId="ACLAPTableText">
    <w:name w:val="AC LAP Table Text"/>
    <w:qFormat/>
    <w:rsid w:val="002E0DD8"/>
    <w:pPr>
      <w:spacing w:before="40" w:after="40"/>
    </w:pPr>
    <w:rPr>
      <w:rFonts w:ascii="Arial" w:eastAsia="Calibri" w:hAnsi="Arial" w:cs="Arial"/>
      <w:sz w:val="20"/>
      <w:szCs w:val="20"/>
      <w:lang w:val="en-AU"/>
    </w:rPr>
  </w:style>
  <w:style w:type="paragraph" w:customStyle="1" w:styleId="LAPHeading">
    <w:name w:val="LAP Heading"/>
    <w:qFormat/>
    <w:rsid w:val="002E0DD8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  <w:lang w:val="en-AU" w:eastAsia="en-AU"/>
    </w:rPr>
  </w:style>
  <w:style w:type="character" w:customStyle="1" w:styleId="st">
    <w:name w:val="st"/>
    <w:rsid w:val="002E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muriden college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Harding</dc:creator>
  <cp:lastModifiedBy> </cp:lastModifiedBy>
  <cp:revision>14</cp:revision>
  <cp:lastPrinted>2016-08-09T03:59:00Z</cp:lastPrinted>
  <dcterms:created xsi:type="dcterms:W3CDTF">2016-08-01T05:39:00Z</dcterms:created>
  <dcterms:modified xsi:type="dcterms:W3CDTF">2016-09-26T02:07:00Z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A560456</vt:lpwstr>
  </property>
  <property fmtid="{D5CDD505-2E9C-101B-9397-08002B2CF9AE}" pid="4" name="Objective-Title">
    <vt:lpwstr>Stage 1 LAP-03 - Britain Rome Mayans</vt:lpwstr>
  </property>
  <property fmtid="{D5CDD505-2E9C-101B-9397-08002B2CF9AE}" pid="5" name="Objective-Comment">
    <vt:lpwstr/>
  </property>
  <property fmtid="{D5CDD505-2E9C-101B-9397-08002B2CF9AE}" pid="6" name="Objective-CreationStamp">
    <vt:filetime>2016-08-23T06:55:49Z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2016-09-26T02:05:52Z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Folder:Curriculum:Subject renewal:Australian Curriculum:IMPLEMENTATION WORKSHOP PLANNING:Ancient Studies:</vt:lpwstr>
  </property>
  <property fmtid="{D5CDD505-2E9C-101B-9397-08002B2CF9AE}" pid="13" name="Objective-Parent">
    <vt:lpwstr>Ancient Studies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qA13706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