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86329" w14:textId="77777777" w:rsidR="00201242" w:rsidRDefault="005E686A" w:rsidP="00180FAB">
      <w:pPr>
        <w:pStyle w:val="Heading1"/>
        <w:spacing w:before="0"/>
      </w:pPr>
      <w:r>
        <w:t>Ancient Studies</w:t>
      </w:r>
      <w:r w:rsidR="00201242" w:rsidRPr="00201242">
        <w:t xml:space="preserve"> Subject Assessment Advice</w:t>
      </w:r>
    </w:p>
    <w:p w14:paraId="1480EBD9" w14:textId="77777777" w:rsidR="00201242" w:rsidRDefault="00201242" w:rsidP="00201242">
      <w:pPr>
        <w:pStyle w:val="Heading2"/>
      </w:pPr>
      <w:r>
        <w:t>Overview</w:t>
      </w:r>
    </w:p>
    <w:p w14:paraId="30E4900A" w14:textId="77777777" w:rsidR="00201242" w:rsidRDefault="00201242" w:rsidP="00201242">
      <w:r>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4B76AFEA" w14:textId="77777777" w:rsidR="00201242" w:rsidRDefault="00201242" w:rsidP="00201242">
      <w:r>
        <w:t>Teachers should refer to the subject outline for specifications on content and learning requirements, and to the subject operational information for operational matters and key dates.</w:t>
      </w:r>
    </w:p>
    <w:p w14:paraId="23478D82" w14:textId="77777777" w:rsidR="004B0DA9" w:rsidRDefault="004B0DA9" w:rsidP="00C157A2">
      <w:pPr>
        <w:pStyle w:val="Content1bullets"/>
        <w:tabs>
          <w:tab w:val="left" w:pos="426"/>
        </w:tabs>
        <w:ind w:left="426" w:hanging="426"/>
      </w:pPr>
      <w:r>
        <w:t xml:space="preserve">This year many teacher and students took the opportunity offered in the new subject outline to engage with cultures outside of Greece and Rome with success. Many courses featured study in ancient Egypt. </w:t>
      </w:r>
    </w:p>
    <w:p w14:paraId="0B0C847A" w14:textId="77777777" w:rsidR="004B0DA9" w:rsidRDefault="004B0DA9" w:rsidP="00C157A2">
      <w:pPr>
        <w:pStyle w:val="Content1bullets"/>
        <w:tabs>
          <w:tab w:val="left" w:pos="426"/>
        </w:tabs>
        <w:ind w:left="426" w:hanging="426"/>
      </w:pPr>
      <w:r>
        <w:t>To support students in delving into the complexities of ancient societies and explore critically and from multiple perspectives, students must have access to good quality primary and secondary sources. Teachers are encouraged to seek out primary source materials and academic materials to support their teaching programs, especially for topics outside of the Greek and Roman world as there was generally a lack of academic sources utilised by students and a heavy reliance on internet sites and blogs as the only sources to support ideas developed in assessments.</w:t>
      </w:r>
    </w:p>
    <w:p w14:paraId="7A430466" w14:textId="77777777" w:rsidR="004B0DA9" w:rsidRDefault="004B0DA9" w:rsidP="00C157A2">
      <w:pPr>
        <w:pStyle w:val="Content1bullets"/>
        <w:tabs>
          <w:tab w:val="left" w:pos="426"/>
        </w:tabs>
        <w:ind w:left="426" w:hanging="426"/>
      </w:pPr>
      <w:r>
        <w:t>Teachers are reminded that the new Ancient Studies course has a focus on the evaluation and usefulness of source material in KU3 and A3. The more successful student samples clearly addressed these specific features when there was an engagement with and critical commentary on the context and construction of source material built into the assessment task requirements.</w:t>
      </w:r>
    </w:p>
    <w:p w14:paraId="780CB337" w14:textId="77777777" w:rsidR="004B0DA9" w:rsidRDefault="004B0DA9" w:rsidP="00C157A2">
      <w:pPr>
        <w:pStyle w:val="Content1bullets"/>
        <w:tabs>
          <w:tab w:val="left" w:pos="426"/>
        </w:tabs>
        <w:ind w:left="426" w:hanging="426"/>
      </w:pPr>
      <w:r>
        <w:t xml:space="preserve">It was encouraging to see the application of RA2 in a range of approaches as students took the opportunity to explore ideas and innovations within a specific culture or across different cultures and time. Teachers are encouraged to design tasks to supports students to define a clear and specific focus for their connections task to enable a deep and authentic exploration of ideas or innovations.  </w:t>
      </w:r>
    </w:p>
    <w:p w14:paraId="1A44300E" w14:textId="77777777" w:rsidR="004B0DA9" w:rsidRDefault="004B0DA9" w:rsidP="00C157A2">
      <w:pPr>
        <w:pStyle w:val="Content1bullets"/>
        <w:tabs>
          <w:tab w:val="left" w:pos="426"/>
        </w:tabs>
        <w:ind w:left="426" w:hanging="426"/>
      </w:pPr>
      <w:r>
        <w:t>The more successful timed responses enabled students to critically analyse material, not just simply recount information. Task design that encouraged one or two sentence answers in response to a set source, limited student ability to engage in detail with the material and demonstrate in-depth and critical understanding.</w:t>
      </w:r>
    </w:p>
    <w:p w14:paraId="44F4524A" w14:textId="77777777" w:rsidR="004B0DA9" w:rsidRDefault="004B0DA9" w:rsidP="00C157A2">
      <w:pPr>
        <w:pStyle w:val="Content1bullets"/>
        <w:tabs>
          <w:tab w:val="left" w:pos="426"/>
        </w:tabs>
        <w:ind w:left="426" w:hanging="426"/>
      </w:pPr>
      <w:r>
        <w:t>For more successful timed responses, teachers are encouraged to strike a balance between providing source material which enables students to build on their own developed knowledge of the topic studied and providing extensive text excerpts which possibly hinder students to engage deeply within the set time limit.</w:t>
      </w:r>
    </w:p>
    <w:p w14:paraId="6C05CC7A" w14:textId="77777777" w:rsidR="004B0DA9" w:rsidRDefault="004B0DA9" w:rsidP="00C157A2">
      <w:pPr>
        <w:pStyle w:val="Content1bullets"/>
        <w:tabs>
          <w:tab w:val="left" w:pos="426"/>
        </w:tabs>
        <w:ind w:left="426" w:hanging="426"/>
      </w:pPr>
      <w:r>
        <w:t>Teachers are encouraged to consider how they scaffold and prepare students for success in the timed skills and applications tasks given the flexibility of the options provided in the subject outline</w:t>
      </w:r>
    </w:p>
    <w:p w14:paraId="35825E3B" w14:textId="77777777" w:rsidR="004B0DA9" w:rsidRDefault="004B0DA9" w:rsidP="004B0DA9">
      <w:pPr>
        <w:pStyle w:val="SAV-Information"/>
        <w:rPr>
          <w:color w:val="auto"/>
        </w:rPr>
      </w:pPr>
    </w:p>
    <w:p w14:paraId="6565C54A" w14:textId="77777777" w:rsidR="004B0DA9" w:rsidRPr="004B0DA9" w:rsidRDefault="004B0DA9" w:rsidP="004B0DA9">
      <w:pPr>
        <w:pStyle w:val="SAV-Information"/>
        <w:rPr>
          <w:color w:val="auto"/>
        </w:rPr>
      </w:pPr>
    </w:p>
    <w:p w14:paraId="0C4E8925" w14:textId="77777777" w:rsidR="00201242" w:rsidRDefault="00201242" w:rsidP="001B40F1">
      <w:pPr>
        <w:pStyle w:val="Heading1"/>
        <w:spacing w:before="360" w:line="240" w:lineRule="auto"/>
      </w:pPr>
      <w:r>
        <w:lastRenderedPageBreak/>
        <w:t>School Assessment</w:t>
      </w:r>
    </w:p>
    <w:p w14:paraId="3BEFFB14" w14:textId="77777777" w:rsidR="00201242" w:rsidRPr="004B0DA9" w:rsidRDefault="00201242" w:rsidP="00C157A2">
      <w:pPr>
        <w:pStyle w:val="Heading2"/>
      </w:pPr>
      <w:r w:rsidRPr="00201242">
        <w:t>Assessment</w:t>
      </w:r>
      <w:r>
        <w:t xml:space="preserve"> Type 1: </w:t>
      </w:r>
      <w:r w:rsidR="004B0DA9">
        <w:t>Skills and Applications</w:t>
      </w:r>
    </w:p>
    <w:p w14:paraId="007FEF4F" w14:textId="77777777" w:rsidR="00201242" w:rsidRDefault="00201242" w:rsidP="00201242">
      <w:pPr>
        <w:pStyle w:val="Contentitalic"/>
      </w:pPr>
      <w:r>
        <w:t>The more successful responses commonly:</w:t>
      </w:r>
    </w:p>
    <w:p w14:paraId="470C504A" w14:textId="77777777" w:rsidR="004B0DA9" w:rsidRDefault="00C157A2" w:rsidP="004B0DA9">
      <w:pPr>
        <w:pStyle w:val="Content1bullets"/>
        <w:numPr>
          <w:ilvl w:val="0"/>
          <w:numId w:val="8"/>
        </w:numPr>
        <w:ind w:left="426" w:hanging="426"/>
      </w:pPr>
      <w:r>
        <w:t>p</w:t>
      </w:r>
      <w:r w:rsidR="004B0DA9">
        <w:t>rovided thoughtful and analytical commentary on research and ideas</w:t>
      </w:r>
    </w:p>
    <w:p w14:paraId="3E70EF44" w14:textId="77777777" w:rsidR="004B0DA9" w:rsidRDefault="00C157A2" w:rsidP="004B0DA9">
      <w:pPr>
        <w:pStyle w:val="Content1bullets"/>
        <w:numPr>
          <w:ilvl w:val="0"/>
          <w:numId w:val="8"/>
        </w:numPr>
        <w:ind w:left="426" w:hanging="426"/>
      </w:pPr>
      <w:r>
        <w:t>m</w:t>
      </w:r>
      <w:r w:rsidR="004B0DA9">
        <w:t>ade wide use of a range of primary and secondary source materials to build an argument or d</w:t>
      </w:r>
      <w:r w:rsidR="00A207F9">
        <w:t>evelop a critical investigation</w:t>
      </w:r>
    </w:p>
    <w:p w14:paraId="0D97D47B" w14:textId="77777777" w:rsidR="004B0DA9" w:rsidRDefault="00C157A2" w:rsidP="004B0DA9">
      <w:pPr>
        <w:pStyle w:val="Content1bullets"/>
        <w:numPr>
          <w:ilvl w:val="0"/>
          <w:numId w:val="8"/>
        </w:numPr>
        <w:ind w:left="426" w:hanging="426"/>
      </w:pPr>
      <w:r>
        <w:t>d</w:t>
      </w:r>
      <w:r w:rsidR="004B0DA9">
        <w:t>emonstrated great confidence in their research and application of ideas</w:t>
      </w:r>
    </w:p>
    <w:p w14:paraId="14BF1ED2" w14:textId="77777777" w:rsidR="004B0DA9" w:rsidRDefault="00C157A2" w:rsidP="004B0DA9">
      <w:pPr>
        <w:pStyle w:val="Content1bullets"/>
        <w:numPr>
          <w:ilvl w:val="0"/>
          <w:numId w:val="8"/>
        </w:numPr>
        <w:ind w:left="426" w:hanging="426"/>
      </w:pPr>
      <w:r>
        <w:t>w</w:t>
      </w:r>
      <w:r w:rsidR="004B0DA9">
        <w:t>ere able to take a step back from material and explore concepts and their influence</w:t>
      </w:r>
    </w:p>
    <w:p w14:paraId="030E113F" w14:textId="77777777" w:rsidR="004B0DA9" w:rsidRDefault="00C157A2" w:rsidP="004B0DA9">
      <w:pPr>
        <w:pStyle w:val="Content1bullets"/>
        <w:numPr>
          <w:ilvl w:val="0"/>
          <w:numId w:val="8"/>
        </w:numPr>
        <w:ind w:left="426" w:hanging="426"/>
      </w:pPr>
      <w:r>
        <w:t>m</w:t>
      </w:r>
      <w:r w:rsidR="004B0DA9">
        <w:t>ade good use of word count, being precise, fluent and well-structured in communicating their ideas</w:t>
      </w:r>
    </w:p>
    <w:p w14:paraId="4DB83EC8" w14:textId="77777777" w:rsidR="004B0DA9" w:rsidRDefault="00C157A2" w:rsidP="004B0DA9">
      <w:pPr>
        <w:pStyle w:val="Content1bullets"/>
        <w:numPr>
          <w:ilvl w:val="0"/>
          <w:numId w:val="8"/>
        </w:numPr>
        <w:ind w:left="426" w:hanging="426"/>
      </w:pPr>
      <w:r>
        <w:t>e</w:t>
      </w:r>
      <w:r w:rsidR="004B0DA9">
        <w:t>ngaged critically with sources and their context and construction</w:t>
      </w:r>
    </w:p>
    <w:p w14:paraId="304D4E89" w14:textId="77777777" w:rsidR="004B0DA9" w:rsidRDefault="00C157A2" w:rsidP="004B0DA9">
      <w:pPr>
        <w:pStyle w:val="Content1bullets"/>
        <w:numPr>
          <w:ilvl w:val="0"/>
          <w:numId w:val="8"/>
        </w:numPr>
        <w:ind w:left="426" w:hanging="426"/>
      </w:pPr>
      <w:r>
        <w:t>d</w:t>
      </w:r>
      <w:r w:rsidR="004B0DA9">
        <w:t>iscussed ideas, concepts and topics from multiple perspectives and were critical in the</w:t>
      </w:r>
      <w:r>
        <w:t>ir interrogation of information</w:t>
      </w:r>
    </w:p>
    <w:p w14:paraId="20CA9A04" w14:textId="77777777" w:rsidR="004B0DA9" w:rsidRDefault="00C157A2" w:rsidP="004B0DA9">
      <w:pPr>
        <w:pStyle w:val="Content1bullets"/>
        <w:numPr>
          <w:ilvl w:val="0"/>
          <w:numId w:val="8"/>
        </w:numPr>
        <w:ind w:left="426" w:hanging="426"/>
      </w:pPr>
      <w:r>
        <w:t>p</w:t>
      </w:r>
      <w:r w:rsidR="004B0DA9">
        <w:t>resented ideas that were supported by research and primary source material while also offering original insights logically developed through</w:t>
      </w:r>
      <w:r>
        <w:t xml:space="preserve"> the investigation of material</w:t>
      </w:r>
    </w:p>
    <w:p w14:paraId="1783406E" w14:textId="77777777" w:rsidR="004B0DA9" w:rsidRDefault="00C157A2" w:rsidP="004B0DA9">
      <w:pPr>
        <w:pStyle w:val="Content1bullets"/>
        <w:numPr>
          <w:ilvl w:val="0"/>
          <w:numId w:val="8"/>
        </w:numPr>
        <w:ind w:left="426" w:hanging="426"/>
      </w:pPr>
      <w:r>
        <w:t>u</w:t>
      </w:r>
      <w:r w:rsidR="004B0DA9">
        <w:t>tilised relevant and specific quotes from ancient texts and/or secondary sources as supporting evidence to critically analyse and</w:t>
      </w:r>
      <w:r>
        <w:t xml:space="preserve"> interpret works of literature</w:t>
      </w:r>
    </w:p>
    <w:p w14:paraId="214B7F8C" w14:textId="77777777" w:rsidR="00646825" w:rsidRDefault="00C157A2" w:rsidP="007B3CFA">
      <w:pPr>
        <w:pStyle w:val="Content1bullets"/>
        <w:numPr>
          <w:ilvl w:val="0"/>
          <w:numId w:val="8"/>
        </w:numPr>
        <w:ind w:left="426" w:hanging="426"/>
      </w:pPr>
      <w:r>
        <w:t>t</w:t>
      </w:r>
      <w:r w:rsidR="004B0DA9">
        <w:t>imed tasks which required students to provide detailed discussion and meaningful engagement with source mater</w:t>
      </w:r>
      <w:r>
        <w:t>ial.</w:t>
      </w:r>
    </w:p>
    <w:p w14:paraId="6868F18D" w14:textId="77777777" w:rsidR="007B3CFA" w:rsidRDefault="007B3CFA" w:rsidP="007B3CFA">
      <w:pPr>
        <w:pStyle w:val="Content1bullets"/>
        <w:numPr>
          <w:ilvl w:val="0"/>
          <w:numId w:val="0"/>
        </w:numPr>
        <w:ind w:left="709" w:hanging="425"/>
      </w:pPr>
    </w:p>
    <w:p w14:paraId="1D07AA4E" w14:textId="77777777" w:rsidR="007B3CFA" w:rsidRDefault="007B3CFA" w:rsidP="007B3CFA">
      <w:pPr>
        <w:pStyle w:val="Contentitalic"/>
      </w:pPr>
      <w:r>
        <w:t>The less successful responses commonly:</w:t>
      </w:r>
    </w:p>
    <w:p w14:paraId="4A1D4462" w14:textId="77777777" w:rsidR="007B3CFA" w:rsidRDefault="00C157A2" w:rsidP="007B3CFA">
      <w:pPr>
        <w:pStyle w:val="Content1bullets"/>
        <w:ind w:left="426" w:hanging="426"/>
      </w:pPr>
      <w:r>
        <w:t>r</w:t>
      </w:r>
      <w:r w:rsidR="007B3CFA">
        <w:t>elied on recount of information and were more narrative in nature without engaging in meaningful critical analysis of ideas, events or people</w:t>
      </w:r>
    </w:p>
    <w:p w14:paraId="5FD53978" w14:textId="77777777" w:rsidR="007B3CFA" w:rsidRDefault="00C157A2" w:rsidP="007B3CFA">
      <w:pPr>
        <w:pStyle w:val="Content1bullets"/>
        <w:ind w:left="426" w:hanging="426"/>
      </w:pPr>
      <w:r>
        <w:t>r</w:t>
      </w:r>
      <w:r w:rsidR="007B3CFA">
        <w:t xml:space="preserve">elied on only a couple of websites mainly to paraphrase ideas </w:t>
      </w:r>
    </w:p>
    <w:p w14:paraId="120A9094" w14:textId="77777777" w:rsidR="007B3CFA" w:rsidRDefault="00C157A2" w:rsidP="007B3CFA">
      <w:pPr>
        <w:pStyle w:val="Content1bullets"/>
        <w:ind w:left="426" w:hanging="426"/>
      </w:pPr>
      <w:r>
        <w:t>d</w:t>
      </w:r>
      <w:r w:rsidR="007B3CFA">
        <w:t>id not engage with any primary source material across</w:t>
      </w:r>
      <w:r>
        <w:t xml:space="preserve"> the whole student work sample</w:t>
      </w:r>
    </w:p>
    <w:p w14:paraId="3A594B64" w14:textId="77777777" w:rsidR="007B3CFA" w:rsidRDefault="00C157A2" w:rsidP="007B3CFA">
      <w:pPr>
        <w:pStyle w:val="Content1bullets"/>
        <w:ind w:left="426" w:hanging="426"/>
      </w:pPr>
      <w:r>
        <w:t>s</w:t>
      </w:r>
      <w:r w:rsidR="007B3CFA">
        <w:t xml:space="preserve">uperficially inserted references from ancient writers with limited to no engagement with how the source supported </w:t>
      </w:r>
      <w:r>
        <w:t>an argument, ideas or research</w:t>
      </w:r>
    </w:p>
    <w:p w14:paraId="0EAE1C10" w14:textId="77777777" w:rsidR="007B3CFA" w:rsidRDefault="00C157A2" w:rsidP="007B3CFA">
      <w:pPr>
        <w:pStyle w:val="Content1bullets"/>
        <w:ind w:left="426" w:hanging="426"/>
      </w:pPr>
      <w:r>
        <w:t>d</w:t>
      </w:r>
      <w:r w:rsidR="007B3CFA">
        <w:t>id not evaluate the nature and context of sources</w:t>
      </w:r>
    </w:p>
    <w:p w14:paraId="48775865" w14:textId="77777777" w:rsidR="007B3CFA" w:rsidRDefault="00C157A2" w:rsidP="007B3CFA">
      <w:pPr>
        <w:pStyle w:val="Content1bullets"/>
        <w:ind w:left="426" w:hanging="426"/>
      </w:pPr>
      <w:r>
        <w:t>w</w:t>
      </w:r>
      <w:r w:rsidR="007B3CFA">
        <w:t xml:space="preserve">ere poorly expressed and written </w:t>
      </w:r>
      <w:r>
        <w:t>with an obvious lack of editing</w:t>
      </w:r>
    </w:p>
    <w:p w14:paraId="2586F894" w14:textId="77777777" w:rsidR="007B3CFA" w:rsidRDefault="00C157A2" w:rsidP="007B3CFA">
      <w:pPr>
        <w:pStyle w:val="Content1bullets"/>
        <w:ind w:left="426" w:hanging="426"/>
      </w:pPr>
      <w:r>
        <w:t>w</w:t>
      </w:r>
      <w:r w:rsidR="007B3CFA">
        <w:t>ere unable to discuss diversity or multiple perspectives</w:t>
      </w:r>
    </w:p>
    <w:p w14:paraId="45FB1018" w14:textId="77777777" w:rsidR="007B3CFA" w:rsidRDefault="00C157A2" w:rsidP="007B3CFA">
      <w:pPr>
        <w:pStyle w:val="Content1bullets"/>
        <w:ind w:left="426" w:hanging="426"/>
      </w:pPr>
      <w:r>
        <w:t>w</w:t>
      </w:r>
      <w:r w:rsidR="007B3CFA">
        <w:t>ere unable to synthesise material</w:t>
      </w:r>
      <w:bookmarkStart w:id="0" w:name="_GoBack"/>
      <w:bookmarkEnd w:id="0"/>
    </w:p>
    <w:p w14:paraId="4BA549C0" w14:textId="77777777" w:rsidR="007B3CFA" w:rsidRDefault="00C157A2" w:rsidP="007B3CFA">
      <w:pPr>
        <w:pStyle w:val="Content1bullets"/>
        <w:ind w:left="426" w:hanging="426"/>
      </w:pPr>
      <w:r>
        <w:t>w</w:t>
      </w:r>
      <w:r w:rsidR="007B3CFA">
        <w:t xml:space="preserve">ere unable to provide more than one or two sentences in response to set source analysis questions for the timed-task. </w:t>
      </w:r>
    </w:p>
    <w:p w14:paraId="1F0B2D35" w14:textId="77777777" w:rsidR="00201242" w:rsidRPr="00C157A2" w:rsidRDefault="00C020E2" w:rsidP="00C157A2">
      <w:pPr>
        <w:pStyle w:val="Heading2"/>
      </w:pPr>
      <w:r w:rsidRPr="00C157A2">
        <w:t>Assessment Type 2</w:t>
      </w:r>
      <w:r w:rsidR="00201242" w:rsidRPr="00C157A2">
        <w:t xml:space="preserve">: </w:t>
      </w:r>
      <w:r w:rsidR="00646825" w:rsidRPr="00C157A2">
        <w:t>Connections</w:t>
      </w:r>
    </w:p>
    <w:p w14:paraId="0AD217A9" w14:textId="77777777" w:rsidR="00201242" w:rsidRDefault="00201242" w:rsidP="00201242">
      <w:pPr>
        <w:pStyle w:val="Contentitalic"/>
      </w:pPr>
      <w:r>
        <w:t>The more successful responses commonly:</w:t>
      </w:r>
    </w:p>
    <w:p w14:paraId="38E253DC" w14:textId="77777777" w:rsidR="00201242" w:rsidRDefault="00C157A2" w:rsidP="00503D5E">
      <w:pPr>
        <w:pStyle w:val="Content1bullets"/>
        <w:ind w:left="426" w:hanging="426"/>
      </w:pPr>
      <w:r>
        <w:t>c</w:t>
      </w:r>
      <w:r w:rsidR="00646825">
        <w:t>ould make authentic connections and move beyond similarities and differences</w:t>
      </w:r>
    </w:p>
    <w:p w14:paraId="5DB7F1DE" w14:textId="77777777" w:rsidR="003B1C24" w:rsidRDefault="00C157A2" w:rsidP="00503D5E">
      <w:pPr>
        <w:pStyle w:val="Content1bullets"/>
        <w:ind w:left="426" w:hanging="426"/>
      </w:pPr>
      <w:r>
        <w:t>c</w:t>
      </w:r>
      <w:r w:rsidR="003B1C24">
        <w:t>hose one or two specific connections to discuss in detail avoiding</w:t>
      </w:r>
      <w:r>
        <w:t xml:space="preserve"> broad sweeping generalisations</w:t>
      </w:r>
    </w:p>
    <w:p w14:paraId="74C6AE68" w14:textId="77777777" w:rsidR="00646825" w:rsidRDefault="00C157A2" w:rsidP="00503D5E">
      <w:pPr>
        <w:pStyle w:val="Content1bullets"/>
        <w:ind w:left="426" w:hanging="426"/>
      </w:pPr>
      <w:r>
        <w:t>c</w:t>
      </w:r>
      <w:r w:rsidR="00646825">
        <w:t>ould di</w:t>
      </w:r>
      <w:r w:rsidR="00D11569">
        <w:t>scuss sources rather than just c</w:t>
      </w:r>
      <w:r w:rsidR="00A207F9">
        <w:t>ite them</w:t>
      </w:r>
    </w:p>
    <w:p w14:paraId="051DC70B" w14:textId="77777777" w:rsidR="003C1DD5" w:rsidRDefault="00C157A2" w:rsidP="00503D5E">
      <w:pPr>
        <w:pStyle w:val="Content1bullets"/>
        <w:ind w:left="426" w:hanging="426"/>
      </w:pPr>
      <w:r>
        <w:t>d</w:t>
      </w:r>
      <w:r w:rsidR="003C1DD5">
        <w:t>emonstrated authentic voice in treatment of the connection where original ideas and analysis</w:t>
      </w:r>
      <w:r>
        <w:t xml:space="preserve"> were expressed</w:t>
      </w:r>
    </w:p>
    <w:p w14:paraId="62699CD4" w14:textId="77777777" w:rsidR="00646825" w:rsidRDefault="00C157A2" w:rsidP="00503D5E">
      <w:pPr>
        <w:pStyle w:val="Content1bullets"/>
        <w:ind w:left="426" w:hanging="426"/>
      </w:pPr>
      <w:r>
        <w:t>d</w:t>
      </w:r>
      <w:r w:rsidR="00646825">
        <w:t>eveloped an argument or discussion on a specific connection</w:t>
      </w:r>
      <w:r w:rsidR="007E56BB">
        <w:t xml:space="preserve"> and </w:t>
      </w:r>
      <w:r w:rsidR="003C1DD5">
        <w:t xml:space="preserve">provide detailed and critical </w:t>
      </w:r>
      <w:r>
        <w:t>analysis</w:t>
      </w:r>
    </w:p>
    <w:p w14:paraId="08B254D3" w14:textId="77777777" w:rsidR="007E56BB" w:rsidRDefault="00C157A2" w:rsidP="00503D5E">
      <w:pPr>
        <w:pStyle w:val="Content1bullets"/>
        <w:ind w:left="426" w:hanging="426"/>
      </w:pPr>
      <w:r>
        <w:t>u</w:t>
      </w:r>
      <w:r w:rsidR="003B1C24">
        <w:t xml:space="preserve">tilised word count to move straight into specific and detailed analysis without </w:t>
      </w:r>
      <w:r>
        <w:t>the need for excessive recount</w:t>
      </w:r>
    </w:p>
    <w:p w14:paraId="3C6CD408" w14:textId="77777777" w:rsidR="003B1C24" w:rsidRDefault="00C157A2" w:rsidP="00503D5E">
      <w:pPr>
        <w:pStyle w:val="Content1bullets"/>
        <w:ind w:left="426" w:hanging="426"/>
      </w:pPr>
      <w:r>
        <w:t>u</w:t>
      </w:r>
      <w:r w:rsidR="003B1C24">
        <w:t xml:space="preserve">tilised </w:t>
      </w:r>
      <w:r w:rsidR="003C1DD5">
        <w:t xml:space="preserve">and synthesised a </w:t>
      </w:r>
      <w:r w:rsidR="003B1C24">
        <w:t xml:space="preserve">range of </w:t>
      </w:r>
      <w:r w:rsidR="003C1DD5">
        <w:t xml:space="preserve">diverse </w:t>
      </w:r>
      <w:r w:rsidR="003B1C24">
        <w:t xml:space="preserve">sources to support </w:t>
      </w:r>
      <w:r w:rsidR="003C1DD5">
        <w:t>analysis</w:t>
      </w:r>
    </w:p>
    <w:p w14:paraId="360F0548" w14:textId="77777777" w:rsidR="003B1C24" w:rsidRDefault="00C157A2" w:rsidP="00503D5E">
      <w:pPr>
        <w:pStyle w:val="Content1bullets"/>
        <w:ind w:left="426" w:hanging="426"/>
      </w:pPr>
      <w:r>
        <w:t>p</w:t>
      </w:r>
      <w:r w:rsidR="003B1C24">
        <w:t>rovided a balanced treatment of the connection</w:t>
      </w:r>
      <w:r w:rsidR="003C1DD5">
        <w:t xml:space="preserve"> through the whole response.</w:t>
      </w:r>
    </w:p>
    <w:p w14:paraId="794A74D8" w14:textId="77777777" w:rsidR="007B3CFA" w:rsidRDefault="007B3CFA" w:rsidP="00201242">
      <w:pPr>
        <w:pStyle w:val="Contentitalic"/>
      </w:pPr>
    </w:p>
    <w:p w14:paraId="38716C91" w14:textId="77777777" w:rsidR="00201242" w:rsidRDefault="00201242" w:rsidP="00201242">
      <w:pPr>
        <w:pStyle w:val="Contentitalic"/>
      </w:pPr>
      <w:r>
        <w:t>The less successful responses commonly:</w:t>
      </w:r>
    </w:p>
    <w:p w14:paraId="725ED84E" w14:textId="77777777" w:rsidR="00201242" w:rsidRDefault="00C157A2" w:rsidP="00503D5E">
      <w:pPr>
        <w:pStyle w:val="Content1bullets"/>
        <w:ind w:left="426" w:hanging="426"/>
      </w:pPr>
      <w:r>
        <w:t>r</w:t>
      </w:r>
      <w:r w:rsidR="00646825">
        <w:t>elied heavily on recounting information with a linking sentence to either show a similarity or a difference, this was especially prevalent when students chose to investigate how myths or stories have been tr</w:t>
      </w:r>
      <w:r>
        <w:t>eated cross cultures and times</w:t>
      </w:r>
    </w:p>
    <w:p w14:paraId="3B9D1C2D" w14:textId="77777777" w:rsidR="00C157A2" w:rsidRDefault="00C157A2" w:rsidP="00C157A2">
      <w:pPr>
        <w:pStyle w:val="Content1bullets"/>
        <w:ind w:left="426" w:hanging="426"/>
      </w:pPr>
      <w:r>
        <w:t>did not make the leap to discussing ideas, concepts or innovations from the ancient world and got stuck in a comparison</w:t>
      </w:r>
    </w:p>
    <w:p w14:paraId="154EBD4C" w14:textId="77777777" w:rsidR="00C157A2" w:rsidRDefault="00C157A2" w:rsidP="00C157A2">
      <w:pPr>
        <w:pStyle w:val="Content1bullets"/>
        <w:ind w:left="426" w:hanging="426"/>
      </w:pPr>
      <w:r>
        <w:t>provided an unbalanced discussion where one particular aspect was explored in detail with a loose connection made in the conclusion</w:t>
      </w:r>
    </w:p>
    <w:p w14:paraId="08C0C303" w14:textId="77777777" w:rsidR="00C157A2" w:rsidRDefault="00C157A2" w:rsidP="00C157A2">
      <w:pPr>
        <w:pStyle w:val="Content1bullets"/>
        <w:ind w:left="426" w:hanging="426"/>
      </w:pPr>
      <w:r>
        <w:t>forced a connection in a superficial way and unsupported by evidence</w:t>
      </w:r>
    </w:p>
    <w:p w14:paraId="6605F89E" w14:textId="77777777" w:rsidR="00C157A2" w:rsidRDefault="00C157A2" w:rsidP="00C157A2">
      <w:pPr>
        <w:pStyle w:val="Content1bullets"/>
        <w:ind w:left="426" w:hanging="426"/>
      </w:pPr>
      <w:r>
        <w:t>did not provide a fluid discussion and analysis that compared, contrasted or showed a connection</w:t>
      </w:r>
    </w:p>
    <w:p w14:paraId="0E1FBDE3" w14:textId="77777777" w:rsidR="00C157A2" w:rsidRDefault="00C157A2" w:rsidP="00C157A2">
      <w:pPr>
        <w:pStyle w:val="Content1bullets"/>
        <w:ind w:left="426" w:hanging="426"/>
      </w:pPr>
      <w:r>
        <w:t>limited use of sources</w:t>
      </w:r>
      <w:r w:rsidR="00C81620">
        <w:t xml:space="preserve"> and research to develop ideas.</w:t>
      </w:r>
    </w:p>
    <w:p w14:paraId="72C463EF" w14:textId="77777777" w:rsidR="00C81620" w:rsidRDefault="00C81620" w:rsidP="00C81620">
      <w:r>
        <w:t xml:space="preserve">Student samples submitted for moderation should include all pieces of work </w:t>
      </w:r>
      <w:r w:rsidRPr="00C81620">
        <w:t xml:space="preserve">for all tasks in </w:t>
      </w:r>
      <w:r>
        <w:t xml:space="preserve">an assessment type. </w:t>
      </w:r>
    </w:p>
    <w:p w14:paraId="733ACA0C" w14:textId="77777777" w:rsidR="00C157A2" w:rsidRDefault="00C157A2" w:rsidP="00C157A2">
      <w:pPr>
        <w:pStyle w:val="Heading2"/>
      </w:pPr>
      <w:r>
        <w:t>Assessment Type 3: Investigation</w:t>
      </w:r>
    </w:p>
    <w:p w14:paraId="316622E0" w14:textId="77777777" w:rsidR="00C157A2" w:rsidRDefault="00C157A2" w:rsidP="00C157A2">
      <w:pPr>
        <w:pStyle w:val="Content1bullets"/>
        <w:ind w:left="284" w:hanging="284"/>
      </w:pPr>
      <w:r>
        <w:t xml:space="preserve">It was pleasing to see the new course has opened-up the scope of Inquiry questions. Students embraced the freedom to move outside the traditional studies on Greece and Rome. While many Inquiries did not stray away from the conservative base of Greek and Roman studies, it was refreshing to see students venture into interesting studies of Egypt, India, China, Japan and the Middle East. </w:t>
      </w:r>
    </w:p>
    <w:p w14:paraId="3654B03C" w14:textId="77777777" w:rsidR="00C157A2" w:rsidRDefault="00C157A2" w:rsidP="00C157A2">
      <w:pPr>
        <w:pStyle w:val="Content1bullets"/>
        <w:ind w:left="284" w:hanging="284"/>
      </w:pPr>
      <w:r>
        <w:t xml:space="preserve">Studies with a clear intent, tight focus and room for argument development resulted in the most successful Inquiries. Therefore, the quality of the question is paramount, and students and teachers are encouraged to work closely with one another at the question design stage. </w:t>
      </w:r>
    </w:p>
    <w:p w14:paraId="69F9C4DC" w14:textId="77777777" w:rsidR="00C157A2" w:rsidRDefault="00C157A2" w:rsidP="00C157A2">
      <w:pPr>
        <w:pStyle w:val="Content1bullets"/>
        <w:ind w:left="284" w:hanging="284"/>
      </w:pPr>
      <w:r>
        <w:t xml:space="preserve">Inquiries that embraced the spirit of the new Subject Outline moved beyond a content approach and engaged with how to approach the past. In this respect students must be vigilant in remembering their job is to present material, explain how they know what they do, and with how much certainty they can argue what they know. </w:t>
      </w:r>
    </w:p>
    <w:p w14:paraId="2E022EAC" w14:textId="77777777" w:rsidR="00C157A2" w:rsidRDefault="00C157A2" w:rsidP="00C157A2">
      <w:pPr>
        <w:pStyle w:val="Content1bullets"/>
        <w:ind w:left="284" w:hanging="284"/>
      </w:pPr>
      <w:r>
        <w:t>At the same time students must strike a balance between interrogating the reliability of sources to the detriment of their overall argument. The Inquiries that maintained a genuine discussion of the nuances between source credibility, content and argument were best place to present a synthesised response that fully answered the question.</w:t>
      </w:r>
    </w:p>
    <w:p w14:paraId="24C554E7" w14:textId="77777777" w:rsidR="00C157A2" w:rsidRDefault="00C157A2" w:rsidP="00C157A2">
      <w:pPr>
        <w:pStyle w:val="Content1bullets"/>
        <w:ind w:left="284" w:hanging="284"/>
      </w:pPr>
      <w:r>
        <w:t>Students and teachers are reminded that the Inquiry need not be a formal academic essay. Most students stuck to traditional territory, but those who played to their strength and chose a mode of communication that best suited them were often able to engage confidently with the more challenging assessment design criteria.</w:t>
      </w:r>
    </w:p>
    <w:p w14:paraId="4156E248" w14:textId="77777777" w:rsidR="00C157A2" w:rsidRDefault="00C157A2" w:rsidP="00C157A2">
      <w:pPr>
        <w:pStyle w:val="Content1bullets"/>
        <w:numPr>
          <w:ilvl w:val="0"/>
          <w:numId w:val="0"/>
        </w:numPr>
        <w:ind w:left="709" w:hanging="425"/>
      </w:pPr>
    </w:p>
    <w:p w14:paraId="133E760B" w14:textId="77777777" w:rsidR="00C157A2" w:rsidRDefault="00C157A2" w:rsidP="00C157A2">
      <w:pPr>
        <w:pStyle w:val="Content1bullets"/>
        <w:numPr>
          <w:ilvl w:val="0"/>
          <w:numId w:val="0"/>
        </w:numPr>
        <w:ind w:left="709" w:hanging="425"/>
        <w:sectPr w:rsidR="00C157A2" w:rsidSect="00131B77">
          <w:footerReference w:type="default" r:id="rId9"/>
          <w:headerReference w:type="first" r:id="rId10"/>
          <w:footerReference w:type="first" r:id="rId11"/>
          <w:pgSz w:w="11906" w:h="16838"/>
          <w:pgMar w:top="2127" w:right="1133" w:bottom="1440" w:left="1440" w:header="708" w:footer="708" w:gutter="0"/>
          <w:cols w:space="708"/>
          <w:titlePg/>
          <w:docGrid w:linePitch="360"/>
        </w:sectPr>
      </w:pPr>
    </w:p>
    <w:p w14:paraId="5E434AA7" w14:textId="77777777" w:rsidR="005E686A" w:rsidRDefault="005E686A" w:rsidP="00C157A2">
      <w:pPr>
        <w:pStyle w:val="Contentitalic"/>
      </w:pPr>
      <w:r>
        <w:t>Knowledge and Understanding</w:t>
      </w:r>
    </w:p>
    <w:p w14:paraId="5693CD85" w14:textId="77777777" w:rsidR="005E686A" w:rsidRDefault="005E686A" w:rsidP="00C157A2">
      <w:r>
        <w:t>KU1</w:t>
      </w:r>
    </w:p>
    <w:p w14:paraId="7F4053E2" w14:textId="77777777" w:rsidR="005E686A" w:rsidRDefault="005E686A" w:rsidP="00C157A2">
      <w:pPr>
        <w:pStyle w:val="Content1bullets"/>
      </w:pPr>
      <w:r w:rsidRPr="00FD0E0D">
        <w:t xml:space="preserve">Most students </w:t>
      </w:r>
      <w:r>
        <w:t>were able to demonstrate some knowledge and understanding of their chosen area of study. The scope in this assessment criteria allowed students to show what they knew about a text, a person, an event or an artefact. The stronger Inquiries achieving in the higher grade bands were those that moved beyond the recount, project style and demonstrated confident discernment of information.</w:t>
      </w:r>
    </w:p>
    <w:p w14:paraId="61DF0CDF" w14:textId="77777777" w:rsidR="005E686A" w:rsidRDefault="005E686A" w:rsidP="00C157A2">
      <w:r>
        <w:t>KU2</w:t>
      </w:r>
    </w:p>
    <w:p w14:paraId="44FDA5F2" w14:textId="77777777" w:rsidR="005E686A" w:rsidRDefault="005E686A" w:rsidP="00C157A2">
      <w:pPr>
        <w:pStyle w:val="Content1bullets"/>
      </w:pPr>
      <w:r>
        <w:t>The question design is important to enable a discussion of diversity in this assessment design criteria. Students are reminded to not only demonstrate extensive knowledge about a person, an event, an idea or an artefact, but that they must be mindful of the diversity of ideas, values, processes, or perceptions at the time. The more sophisticated studies were able to consider that people of the ancient world did not have blanket views on things, just as is the case today.</w:t>
      </w:r>
    </w:p>
    <w:p w14:paraId="51D41412" w14:textId="77777777" w:rsidR="005E686A" w:rsidRDefault="005E686A" w:rsidP="00C157A2">
      <w:r>
        <w:t>KU3</w:t>
      </w:r>
    </w:p>
    <w:p w14:paraId="5012EA9A" w14:textId="77777777" w:rsidR="005E686A" w:rsidRDefault="005E686A" w:rsidP="00C157A2">
      <w:pPr>
        <w:pStyle w:val="Content1bullets"/>
      </w:pPr>
      <w:r>
        <w:t>The flexibility of this assessment design criteria allowed students to explore the notion of a “concept” in a natural way suiting their inquiry question. Despite this, it was an assessment criterion that many students struggled to fully explore.</w:t>
      </w:r>
    </w:p>
    <w:p w14:paraId="00BEFDA6" w14:textId="77777777" w:rsidR="005E686A" w:rsidRDefault="005E686A" w:rsidP="00C157A2">
      <w:pPr>
        <w:pStyle w:val="Content1bullets"/>
      </w:pPr>
      <w:r>
        <w:t xml:space="preserve">Students are encouraged to really consider the intent behind this assessment criterion by taking a step back from their immediate content and discussing the bigger, deeper questions behind their study. Students who confidently moved their discussion from cause and effect to the concept of political manoeuvring for example were well placed to hit this assessment criterion in the higher grade bands. Likewise, students who shifted literary studies to the concept of catharsis, or epic genre were able to be insightful. Furthermore, Inquiries in the social area quite naturally lent themselves to concepts of gender construction or cultural expectations. </w:t>
      </w:r>
    </w:p>
    <w:p w14:paraId="3A158BC4" w14:textId="77777777" w:rsidR="005E686A" w:rsidRDefault="005E686A" w:rsidP="00C157A2">
      <w:pPr>
        <w:pStyle w:val="Content1bullets"/>
      </w:pPr>
      <w:r>
        <w:t xml:space="preserve">Archaeological concepts are an area which were largely underdeveloped. Students who undertake an Inquiry in an area such as battles and weaponry, pottery or building and architecture are encouraged to really explore the archaeological concepts behind this area of study. Likewise, archaeological concepts could be explored in terms of unpacking theories or schools of thought developed around evidence. </w:t>
      </w:r>
    </w:p>
    <w:p w14:paraId="679FBC76" w14:textId="77777777" w:rsidR="005E686A" w:rsidRDefault="005E686A" w:rsidP="00C157A2">
      <w:pPr>
        <w:pStyle w:val="Content1bullets"/>
      </w:pPr>
      <w:r>
        <w:t xml:space="preserve">Naturally, the Inquiry focus really determines the way in which the student is able to engage with and develop the historic concept.        </w:t>
      </w:r>
    </w:p>
    <w:p w14:paraId="760DF380" w14:textId="77777777" w:rsidR="005E686A" w:rsidRDefault="005E686A" w:rsidP="00C157A2">
      <w:pPr>
        <w:pStyle w:val="Contentitalic"/>
      </w:pPr>
      <w:r>
        <w:t>Research and Analysis</w:t>
      </w:r>
    </w:p>
    <w:p w14:paraId="10436047" w14:textId="77777777" w:rsidR="005E686A" w:rsidRDefault="005E686A" w:rsidP="00C157A2">
      <w:r>
        <w:t>RA1</w:t>
      </w:r>
    </w:p>
    <w:p w14:paraId="03D13121" w14:textId="77777777" w:rsidR="005E686A" w:rsidRDefault="005E686A" w:rsidP="00C157A2">
      <w:pPr>
        <w:pStyle w:val="Content1bullets"/>
      </w:pPr>
      <w:r>
        <w:t>The duality in this assessment criteria was by far one of the most challenging for students to achieve in the upper grade bands.</w:t>
      </w:r>
    </w:p>
    <w:p w14:paraId="0B566E59" w14:textId="77777777" w:rsidR="005E686A" w:rsidRDefault="005E686A" w:rsidP="00C157A2">
      <w:pPr>
        <w:pStyle w:val="Content1bullets"/>
      </w:pPr>
      <w:r>
        <w:t>It is relatively easy for students to find appropriate information in the age of “Google” therefore research, particularly of secondary sources is attainable for the majority of students, and most students did indeed demonstrate that they could collect appropriate material for their Inquiry.</w:t>
      </w:r>
    </w:p>
    <w:p w14:paraId="0DD3F805" w14:textId="77777777" w:rsidR="005E686A" w:rsidRDefault="005E686A" w:rsidP="00C157A2">
      <w:pPr>
        <w:pStyle w:val="Content1bullets"/>
      </w:pPr>
      <w:r>
        <w:t xml:space="preserve">The more successful Inquiries were those that demonstrated critical analysis of this research which is an entirely different skill. </w:t>
      </w:r>
    </w:p>
    <w:p w14:paraId="17DE8753" w14:textId="77777777" w:rsidR="005E686A" w:rsidRDefault="005E686A" w:rsidP="00C157A2">
      <w:pPr>
        <w:pStyle w:val="Content1bullets"/>
      </w:pPr>
      <w:r>
        <w:t>Students are reminded that they need to engage in a critical discussion of the research material in terms of, for example bias, cultural context, historic setting, paradigms, and influences. This is a sophisticated skill to apply in a considered and balanced way throughout the overall Inquiry discussion.</w:t>
      </w:r>
    </w:p>
    <w:p w14:paraId="4EFA34C6" w14:textId="77777777" w:rsidR="00C157A2" w:rsidRDefault="00C157A2">
      <w:pPr>
        <w:spacing w:after="200" w:line="276" w:lineRule="auto"/>
      </w:pPr>
      <w:r>
        <w:br w:type="page"/>
      </w:r>
    </w:p>
    <w:p w14:paraId="6FC75D8E" w14:textId="77777777" w:rsidR="005E686A" w:rsidRDefault="005E686A" w:rsidP="00C157A2">
      <w:r>
        <w:t>RA2</w:t>
      </w:r>
    </w:p>
    <w:p w14:paraId="4E5CF151" w14:textId="77777777" w:rsidR="005E686A" w:rsidRDefault="005E686A" w:rsidP="00C157A2">
      <w:pPr>
        <w:pStyle w:val="Content1bullets"/>
      </w:pPr>
      <w:r>
        <w:t xml:space="preserve">The majority of Inquiries were able to draw links in ideas and, or innovations from the ancient world due to the broad flexibility possible in this assessment design criteria. </w:t>
      </w:r>
    </w:p>
    <w:p w14:paraId="5EA29D72" w14:textId="77777777" w:rsidR="005E686A" w:rsidRDefault="005E686A" w:rsidP="00C157A2">
      <w:pPr>
        <w:pStyle w:val="Content1bullets"/>
      </w:pPr>
      <w:r>
        <w:t>Question design is important to allow for a discussion of links.</w:t>
      </w:r>
    </w:p>
    <w:p w14:paraId="1F7F0345" w14:textId="77777777" w:rsidR="005E686A" w:rsidRDefault="00A207F9" w:rsidP="00C157A2">
      <w:pPr>
        <w:pStyle w:val="Content1bullets"/>
      </w:pPr>
      <w:r>
        <w:t>Comparative studies of one-</w:t>
      </w:r>
      <w:r w:rsidR="005E686A">
        <w:t>time per</w:t>
      </w:r>
      <w:r>
        <w:t>iod with another, or one social/</w:t>
      </w:r>
      <w:r w:rsidR="005E686A">
        <w:t xml:space="preserve">political group with another was a start, but the more successful studies explored the links in broader ideas demonstrated within the comparison. </w:t>
      </w:r>
    </w:p>
    <w:p w14:paraId="66AD3446" w14:textId="77777777" w:rsidR="005E686A" w:rsidRDefault="005E686A" w:rsidP="00C157A2">
      <w:pPr>
        <w:pStyle w:val="Contentitalic"/>
      </w:pPr>
      <w:r>
        <w:t>Application</w:t>
      </w:r>
    </w:p>
    <w:p w14:paraId="1DBB42D7" w14:textId="77777777" w:rsidR="005E686A" w:rsidRPr="00C157A2" w:rsidRDefault="005E686A" w:rsidP="00C157A2">
      <w:pPr>
        <w:pStyle w:val="Content1afterH1"/>
        <w:spacing w:before="120"/>
      </w:pPr>
      <w:r w:rsidRPr="00C157A2">
        <w:t>A1</w:t>
      </w:r>
    </w:p>
    <w:p w14:paraId="33FFEAAD" w14:textId="77777777" w:rsidR="005E686A" w:rsidRDefault="005E686A" w:rsidP="00C157A2">
      <w:pPr>
        <w:pStyle w:val="Content1bullets"/>
      </w:pPr>
      <w:r>
        <w:t xml:space="preserve">Overall this assessment criterion was done well by the majority </w:t>
      </w:r>
      <w:r w:rsidR="00A207F9">
        <w:t xml:space="preserve">of </w:t>
      </w:r>
      <w:r>
        <w:t xml:space="preserve">students. </w:t>
      </w:r>
    </w:p>
    <w:p w14:paraId="7BDACE01" w14:textId="77777777" w:rsidR="005E686A" w:rsidRDefault="005E686A" w:rsidP="00C157A2">
      <w:pPr>
        <w:pStyle w:val="Content1bullets"/>
      </w:pPr>
      <w:r>
        <w:t>Most students were able to use a range of sources, acknowledge material using a consistent referencing system and arrange a bibliography.</w:t>
      </w:r>
    </w:p>
    <w:p w14:paraId="141DF06E" w14:textId="77777777" w:rsidR="005E686A" w:rsidRDefault="005E686A" w:rsidP="00C157A2">
      <w:pPr>
        <w:pStyle w:val="Content1bullets"/>
      </w:pPr>
      <w:r>
        <w:t>It was pleasing to see students avoiding large slabs of quotes and being selective with their evidence by using short snippets of the most appropriate material within a fluent and meaningful sentence.</w:t>
      </w:r>
    </w:p>
    <w:p w14:paraId="5B9D6D5F" w14:textId="77777777" w:rsidR="005E686A" w:rsidRPr="002B7901" w:rsidRDefault="005E686A" w:rsidP="00C157A2">
      <w:pPr>
        <w:pStyle w:val="Content1bullets"/>
        <w:rPr>
          <w:b/>
        </w:rPr>
      </w:pPr>
      <w:r>
        <w:t>The more successful Inquiries were those demonstrating a comprehensive synthesis of sources to build a coherent and balanced argument.</w:t>
      </w:r>
    </w:p>
    <w:p w14:paraId="4179C54E" w14:textId="77777777" w:rsidR="005E686A" w:rsidRDefault="005E686A" w:rsidP="00C157A2">
      <w:r>
        <w:t>A2</w:t>
      </w:r>
    </w:p>
    <w:p w14:paraId="77931B79" w14:textId="77777777" w:rsidR="005E686A" w:rsidRDefault="005E686A" w:rsidP="00C157A2">
      <w:pPr>
        <w:pStyle w:val="Content1bullets"/>
      </w:pPr>
      <w:r>
        <w:t>Th</w:t>
      </w:r>
      <w:r w:rsidR="00A207F9">
        <w:t xml:space="preserve">is assessment criterion was </w:t>
      </w:r>
      <w:r>
        <w:t xml:space="preserve">handled well by most students. </w:t>
      </w:r>
    </w:p>
    <w:p w14:paraId="6191DE80" w14:textId="77777777" w:rsidR="005E686A" w:rsidRDefault="005E686A" w:rsidP="00C157A2">
      <w:pPr>
        <w:pStyle w:val="Content1bullets"/>
      </w:pPr>
      <w:r>
        <w:t>Students demonstrated the ability to define their key premise, follow a logical and progressive structure and</w:t>
      </w:r>
      <w:r w:rsidR="00D76B05">
        <w:t>,</w:t>
      </w:r>
      <w:r>
        <w:t xml:space="preserve"> on the whole</w:t>
      </w:r>
      <w:r w:rsidR="00D76B05">
        <w:t>,</w:t>
      </w:r>
      <w:r>
        <w:t xml:space="preserve"> could use subject specific language appropriately.</w:t>
      </w:r>
    </w:p>
    <w:p w14:paraId="3411C3EB" w14:textId="77777777" w:rsidR="005E686A" w:rsidRDefault="005E686A" w:rsidP="00C157A2">
      <w:pPr>
        <w:pStyle w:val="Content1bullets"/>
      </w:pPr>
      <w:r>
        <w:t xml:space="preserve">Achievement in the lower bands was marked by narrative style language that missed the “argument” part of this design criteria. </w:t>
      </w:r>
    </w:p>
    <w:p w14:paraId="2895EC09" w14:textId="77777777" w:rsidR="005E686A" w:rsidRDefault="005E686A" w:rsidP="00C157A2">
      <w:pPr>
        <w:pStyle w:val="Content1bullets"/>
      </w:pPr>
      <w:r>
        <w:t>Students and teachers are reminded that the construction of the Inquiry question is vital to underpin this assessment design criterion successfully at the higher grade bands.</w:t>
      </w:r>
    </w:p>
    <w:p w14:paraId="1A8CCAB2" w14:textId="77777777" w:rsidR="005E686A" w:rsidRDefault="005E686A" w:rsidP="00C157A2">
      <w:pPr>
        <w:pStyle w:val="Content1bullets"/>
      </w:pPr>
      <w:r>
        <w:t>Finally, students and teachers are reminded that “communication” need not be confined to the traditional essay style, but can include multimodal mediums, oral recordings, or a report style. Students should be encouraged to work in a mode of communication that best suits their learning style so that they can develop their argument with confidence.</w:t>
      </w:r>
    </w:p>
    <w:p w14:paraId="2648D5B3" w14:textId="77777777" w:rsidR="005E686A" w:rsidRDefault="005E686A" w:rsidP="00C157A2">
      <w:r>
        <w:t>A3</w:t>
      </w:r>
    </w:p>
    <w:p w14:paraId="533AEEFF" w14:textId="77777777" w:rsidR="005E686A" w:rsidRDefault="005E686A" w:rsidP="00C157A2">
      <w:pPr>
        <w:pStyle w:val="Content1bullets"/>
      </w:pPr>
      <w:r>
        <w:t xml:space="preserve">Students are reminded that they need to evaluate their sources to achieve in this area. </w:t>
      </w:r>
    </w:p>
    <w:p w14:paraId="16EF849B" w14:textId="77777777" w:rsidR="005E686A" w:rsidRDefault="005E686A" w:rsidP="00C157A2">
      <w:pPr>
        <w:pStyle w:val="Content1bullets"/>
      </w:pPr>
      <w:r>
        <w:t>Discussing the validity of a source is important. Students are reminded that not all sources are trustworthy or valid.</w:t>
      </w:r>
    </w:p>
    <w:p w14:paraId="7DBEEB39" w14:textId="77777777" w:rsidR="005E686A" w:rsidRDefault="005E686A" w:rsidP="00C157A2">
      <w:pPr>
        <w:pStyle w:val="Content1bullets"/>
      </w:pPr>
      <w:r>
        <w:t xml:space="preserve">Distinguishing between primary and secondary sources is important. Students are reminded that these sources are not the same, they must be treated differently and what they each bring to the overall argument must be discussed. </w:t>
      </w:r>
    </w:p>
    <w:p w14:paraId="2052DD66" w14:textId="77777777" w:rsidR="007B3CFA" w:rsidRDefault="005E686A" w:rsidP="00C157A2">
      <w:pPr>
        <w:pStyle w:val="Content1bullets"/>
      </w:pPr>
      <w:r>
        <w:t>Identifying contentions, between sources is also vital and often leads to the core of a discussion around the Inquiry question. Evaluating the outcome of cross-checking sources is the mark of a sound, synthesised Inquiry.</w:t>
      </w:r>
    </w:p>
    <w:p w14:paraId="260456EA" w14:textId="77777777" w:rsidR="005E686A" w:rsidRDefault="005E686A" w:rsidP="00C157A2">
      <w:pPr>
        <w:pStyle w:val="Content1bullets"/>
      </w:pPr>
      <w:r>
        <w:t>The strongest Inquiries were those that could have these source evaluations as a genuine and natural part of their overall d</w:t>
      </w:r>
      <w:r w:rsidR="007B3CFA">
        <w:t>iscussion</w:t>
      </w:r>
      <w:r w:rsidR="00C069EA">
        <w:t>.</w:t>
      </w:r>
    </w:p>
    <w:p w14:paraId="0F872614" w14:textId="77777777" w:rsidR="005E686A" w:rsidRPr="00D952B4" w:rsidRDefault="005E686A" w:rsidP="00C157A2">
      <w:pPr>
        <w:pStyle w:val="Content1bullets"/>
        <w:numPr>
          <w:ilvl w:val="0"/>
          <w:numId w:val="0"/>
        </w:numPr>
      </w:pPr>
    </w:p>
    <w:sectPr w:rsidR="005E686A" w:rsidRPr="00D952B4" w:rsidSect="00201242">
      <w:headerReference w:type="first" r:id="rId12"/>
      <w:footerReference w:type="first" r:id="rId13"/>
      <w:pgSz w:w="11906" w:h="16838"/>
      <w:pgMar w:top="965" w:right="1133"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65661" w14:textId="77777777" w:rsidR="00B5560B" w:rsidRDefault="00B5560B" w:rsidP="00131B77">
      <w:pPr>
        <w:spacing w:after="0"/>
      </w:pPr>
      <w:r>
        <w:separator/>
      </w:r>
    </w:p>
  </w:endnote>
  <w:endnote w:type="continuationSeparator" w:id="0">
    <w:p w14:paraId="09AC910C" w14:textId="77777777" w:rsidR="00B5560B" w:rsidRDefault="00B5560B"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embedRegular r:id="rId1" w:fontKey="{DB011DA4-57ED-4FDC-B9C4-AB3D38BF5DF0}"/>
    <w:embedBold r:id="rId2" w:fontKey="{339287BA-2289-491A-8504-800D382F8F77}"/>
    <w:embedItalic r:id="rId3" w:fontKey="{91B3DA08-56DE-45F5-94CE-1DA307759B2A}"/>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embedRegular r:id="rId4" w:subsetted="1" w:fontKey="{1065AE69-C0B5-429A-9581-59785ECFFDD5}"/>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7CF5F" w14:textId="4911BEBA" w:rsidR="00C157A2" w:rsidRDefault="00C157A2" w:rsidP="00C157A2">
    <w:pPr>
      <w:pStyle w:val="Footer1"/>
      <w:jc w:val="right"/>
    </w:pPr>
    <w:r>
      <w:t>S</w:t>
    </w:r>
    <w:r w:rsidRPr="00201242">
      <w:t xml:space="preserve">tage 2 </w:t>
    </w:r>
    <w:r>
      <w:t>Ancient Studies</w:t>
    </w:r>
    <w:r w:rsidRPr="00C157A2">
      <w:t xml:space="preserve"> </w:t>
    </w:r>
    <w:r>
      <w:t>– 2018</w:t>
    </w:r>
    <w:r w:rsidRPr="00201242">
      <w:t xml:space="preserve"> Subject Assessment Advice</w:t>
    </w:r>
    <w:r>
      <w:tab/>
      <w:t xml:space="preserve">Page </w:t>
    </w:r>
    <w:r>
      <w:rPr>
        <w:sz w:val="24"/>
        <w:szCs w:val="24"/>
      </w:rPr>
      <w:fldChar w:fldCharType="begin"/>
    </w:r>
    <w:r>
      <w:instrText xml:space="preserve"> PAGE </w:instrText>
    </w:r>
    <w:r>
      <w:rPr>
        <w:sz w:val="24"/>
        <w:szCs w:val="24"/>
      </w:rPr>
      <w:fldChar w:fldCharType="separate"/>
    </w:r>
    <w:r w:rsidR="00444459">
      <w:rPr>
        <w:noProof/>
      </w:rPr>
      <w:t>3</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444459">
      <w:rPr>
        <w:noProof/>
      </w:rPr>
      <w:t>5</w:t>
    </w:r>
    <w:r>
      <w:rPr>
        <w:sz w:val="24"/>
        <w:szCs w:val="24"/>
      </w:rPr>
      <w:fldChar w:fldCharType="end"/>
    </w:r>
  </w:p>
  <w:p w14:paraId="491B3173" w14:textId="026A6B67" w:rsidR="00C157A2" w:rsidRDefault="00C157A2" w:rsidP="001E52F9">
    <w:pPr>
      <w:pStyle w:val="Footer1"/>
    </w:pPr>
    <w:r w:rsidRPr="00C157A2">
      <w:t xml:space="preserve">Ref: </w:t>
    </w:r>
    <w:fldSimple w:instr=" DOCPROPERTY  Objective-Id  \* MERGEFORMAT ">
      <w:r w:rsidR="00444459">
        <w:t>A782528</w:t>
      </w:r>
    </w:fldSimple>
    <w:r w:rsidRPr="00C157A2">
      <w:t xml:space="preserve">  © SACE Board of South Australia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82096"/>
      <w:docPartObj>
        <w:docPartGallery w:val="Page Numbers (Bottom of Page)"/>
        <w:docPartUnique/>
      </w:docPartObj>
    </w:sdtPr>
    <w:sdtEndPr/>
    <w:sdtContent>
      <w:sdt>
        <w:sdtPr>
          <w:id w:val="-1046987825"/>
          <w:docPartObj>
            <w:docPartGallery w:val="Page Numbers (Top of Page)"/>
            <w:docPartUnique/>
          </w:docPartObj>
        </w:sdtPr>
        <w:sdtEndPr/>
        <w:sdtContent>
          <w:p w14:paraId="4FF2088A" w14:textId="79167622" w:rsidR="00C157A2" w:rsidRDefault="00C157A2" w:rsidP="00E15730">
            <w:pPr>
              <w:pStyle w:val="Footer1"/>
              <w:tabs>
                <w:tab w:val="clear" w:pos="9639"/>
                <w:tab w:val="right" w:pos="8364"/>
              </w:tabs>
            </w:pPr>
            <w:r>
              <w:rPr>
                <w:noProof/>
                <w:lang w:val="en-AU"/>
              </w:rPr>
              <w:drawing>
                <wp:anchor distT="0" distB="0" distL="114300" distR="114300" simplePos="0" relativeHeight="251659264" behindDoc="1" locked="0" layoutInCell="1" allowOverlap="1" wp14:anchorId="77389F55" wp14:editId="52457883">
                  <wp:simplePos x="0" y="0"/>
                  <wp:positionH relativeFrom="column">
                    <wp:posOffset>4893310</wp:posOffset>
                  </wp:positionH>
                  <wp:positionV relativeFrom="paragraph">
                    <wp:posOffset>-382270</wp:posOffset>
                  </wp:positionV>
                  <wp:extent cx="1901825" cy="1304290"/>
                  <wp:effectExtent l="0" t="0" r="3175" b="0"/>
                  <wp:wrapTight wrapText="bothSides">
                    <wp:wrapPolygon edited="0">
                      <wp:start x="0" y="0"/>
                      <wp:lineTo x="0" y="21137"/>
                      <wp:lineTo x="21420" y="21137"/>
                      <wp:lineTo x="214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t>S</w:t>
            </w:r>
            <w:r w:rsidRPr="00201242">
              <w:t xml:space="preserve">tage 2 </w:t>
            </w:r>
            <w:r>
              <w:t>Ancient Studies</w:t>
            </w:r>
            <w:r w:rsidRPr="00C157A2">
              <w:t xml:space="preserve"> </w:t>
            </w:r>
            <w:r>
              <w:t xml:space="preserve">– 2018 </w:t>
            </w:r>
            <w:r w:rsidRPr="00201242">
              <w:t>Subject Assessment Advice</w:t>
            </w:r>
            <w:r>
              <w:tab/>
              <w:t xml:space="preserve">Page </w:t>
            </w:r>
            <w:r>
              <w:rPr>
                <w:sz w:val="24"/>
                <w:szCs w:val="24"/>
              </w:rPr>
              <w:fldChar w:fldCharType="begin"/>
            </w:r>
            <w:r>
              <w:instrText xml:space="preserve"> PAGE </w:instrText>
            </w:r>
            <w:r>
              <w:rPr>
                <w:sz w:val="24"/>
                <w:szCs w:val="24"/>
              </w:rPr>
              <w:fldChar w:fldCharType="separate"/>
            </w:r>
            <w:r w:rsidR="00444459">
              <w:rPr>
                <w:noProof/>
              </w:rPr>
              <w:t>1</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444459">
              <w:rPr>
                <w:noProof/>
              </w:rPr>
              <w:t>5</w:t>
            </w:r>
            <w:r>
              <w:rPr>
                <w:sz w:val="24"/>
                <w:szCs w:val="24"/>
              </w:rPr>
              <w:fldChar w:fldCharType="end"/>
            </w:r>
            <w:r>
              <w:br/>
            </w:r>
            <w:r w:rsidRPr="00293B3D">
              <w:t xml:space="preserve">Ref: </w:t>
            </w:r>
            <w:fldSimple w:instr=" DOCPROPERTY  Objective-Id  \* MERGEFORMAT ">
              <w:r>
                <w:t>A782528</w:t>
              </w:r>
            </w:fldSimple>
            <w:r>
              <w:t xml:space="preserve"> </w:t>
            </w:r>
            <w:r w:rsidRPr="00293B3D">
              <w:t xml:space="preserve"> © SA</w:t>
            </w:r>
            <w:r>
              <w:t>CE Board of South Australia 2018</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CD635" w14:textId="3E7EE136" w:rsidR="00B00B0F" w:rsidRDefault="00C020E2" w:rsidP="00C020E2">
    <w:pPr>
      <w:pStyle w:val="Footer1"/>
    </w:pPr>
    <w:r>
      <w:tab/>
    </w:r>
    <w:r w:rsidR="00B00B0F">
      <w:t xml:space="preserve">Page </w:t>
    </w:r>
    <w:r w:rsidR="00B00B0F">
      <w:rPr>
        <w:sz w:val="24"/>
        <w:szCs w:val="24"/>
      </w:rPr>
      <w:fldChar w:fldCharType="begin"/>
    </w:r>
    <w:r w:rsidR="00B00B0F">
      <w:instrText xml:space="preserve"> PAGE </w:instrText>
    </w:r>
    <w:r w:rsidR="00B00B0F">
      <w:rPr>
        <w:sz w:val="24"/>
        <w:szCs w:val="24"/>
      </w:rPr>
      <w:fldChar w:fldCharType="separate"/>
    </w:r>
    <w:r w:rsidR="00444459">
      <w:rPr>
        <w:noProof/>
      </w:rPr>
      <w:t>4</w:t>
    </w:r>
    <w:r w:rsidR="00B00B0F">
      <w:rPr>
        <w:sz w:val="24"/>
        <w:szCs w:val="24"/>
      </w:rPr>
      <w:fldChar w:fldCharType="end"/>
    </w:r>
    <w:r w:rsidR="00B00B0F">
      <w:t xml:space="preserve"> of </w:t>
    </w:r>
    <w:r w:rsidR="00B00B0F">
      <w:rPr>
        <w:sz w:val="24"/>
        <w:szCs w:val="24"/>
      </w:rPr>
      <w:fldChar w:fldCharType="begin"/>
    </w:r>
    <w:r w:rsidR="00B00B0F">
      <w:instrText xml:space="preserve"> NUMPAGES  </w:instrText>
    </w:r>
    <w:r w:rsidR="00B00B0F">
      <w:rPr>
        <w:sz w:val="24"/>
        <w:szCs w:val="24"/>
      </w:rPr>
      <w:fldChar w:fldCharType="separate"/>
    </w:r>
    <w:r w:rsidR="00444459">
      <w:rPr>
        <w:noProof/>
      </w:rPr>
      <w:t>5</w:t>
    </w:r>
    <w:r w:rsidR="00B00B0F">
      <w:rPr>
        <w:sz w:val="24"/>
        <w:szCs w:val="24"/>
      </w:rPr>
      <w:fldChar w:fldCharType="end"/>
    </w:r>
  </w:p>
  <w:p w14:paraId="6532765C" w14:textId="77777777" w:rsidR="00201242" w:rsidRDefault="00201242" w:rsidP="00201242">
    <w:pPr>
      <w:pStyle w:val="Footer1"/>
    </w:pPr>
    <w:r>
      <w:t>S</w:t>
    </w:r>
    <w:r w:rsidRPr="00201242">
      <w:t xml:space="preserve">tage 2 </w:t>
    </w:r>
    <w:r w:rsidR="00C157A2">
      <w:t>Ancient Studies</w:t>
    </w:r>
    <w:r w:rsidRPr="00C157A2">
      <w:t xml:space="preserve"> </w:t>
    </w:r>
    <w:r w:rsidR="00C020E2">
      <w:t>– 2018</w:t>
    </w:r>
    <w:r w:rsidRPr="00201242">
      <w:t xml:space="preserve"> Subject Assessment Advice</w:t>
    </w:r>
    <w:r>
      <w:br/>
    </w:r>
    <w:r w:rsidRPr="00C157A2">
      <w:t xml:space="preserve">Ref: </w:t>
    </w:r>
    <w:r w:rsidR="00444459">
      <w:fldChar w:fldCharType="begin"/>
    </w:r>
    <w:r w:rsidR="00444459">
      <w:instrText xml:space="preserve"> DOCPROPERTY  Objective-Id  \* MERGEFORMAT </w:instrText>
    </w:r>
    <w:r w:rsidR="00444459">
      <w:fldChar w:fldCharType="separate"/>
    </w:r>
    <w:r w:rsidR="00C157A2">
      <w:t>A782528</w:t>
    </w:r>
    <w:r w:rsidR="00444459">
      <w:fldChar w:fldCharType="end"/>
    </w:r>
    <w:r w:rsidRPr="00C157A2">
      <w:t xml:space="preserve">  © SACE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38FB8" w14:textId="77777777" w:rsidR="00B5560B" w:rsidRDefault="00B5560B" w:rsidP="00131B77">
      <w:pPr>
        <w:spacing w:after="0"/>
      </w:pPr>
      <w:r>
        <w:separator/>
      </w:r>
    </w:p>
  </w:footnote>
  <w:footnote w:type="continuationSeparator" w:id="0">
    <w:p w14:paraId="29DD800E" w14:textId="77777777" w:rsidR="00B5560B" w:rsidRDefault="00B5560B"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0A36A" w14:textId="77777777" w:rsidR="00C157A2" w:rsidRDefault="00C157A2">
    <w:r>
      <w:rPr>
        <w:noProof/>
        <w:lang w:eastAsia="en-AU"/>
      </w:rPr>
      <w:drawing>
        <wp:anchor distT="0" distB="0" distL="114300" distR="114300" simplePos="0" relativeHeight="251660288" behindDoc="1" locked="0" layoutInCell="1" allowOverlap="1" wp14:anchorId="484D58B7" wp14:editId="5A512D03">
          <wp:simplePos x="0" y="0"/>
          <wp:positionH relativeFrom="column">
            <wp:posOffset>-895350</wp:posOffset>
          </wp:positionH>
          <wp:positionV relativeFrom="paragraph">
            <wp:posOffset>-401955</wp:posOffset>
          </wp:positionV>
          <wp:extent cx="7539990" cy="1581150"/>
          <wp:effectExtent l="0" t="0" r="3810" b="0"/>
          <wp:wrapTight wrapText="bothSides">
            <wp:wrapPolygon edited="0">
              <wp:start x="0" y="0"/>
              <wp:lineTo x="0" y="21340"/>
              <wp:lineTo x="21556" y="21340"/>
              <wp:lineTo x="215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5864D" w14:textId="77777777" w:rsidR="00201242" w:rsidRDefault="0020124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30F0"/>
    <w:multiLevelType w:val="hybridMultilevel"/>
    <w:tmpl w:val="26284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2326DA"/>
    <w:multiLevelType w:val="hybridMultilevel"/>
    <w:tmpl w:val="819EF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C5A50"/>
    <w:multiLevelType w:val="hybridMultilevel"/>
    <w:tmpl w:val="16CCD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963265"/>
    <w:multiLevelType w:val="hybridMultilevel"/>
    <w:tmpl w:val="30BE6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76E18E2"/>
    <w:multiLevelType w:val="hybridMultilevel"/>
    <w:tmpl w:val="804A2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3F2E97"/>
    <w:multiLevelType w:val="hybridMultilevel"/>
    <w:tmpl w:val="1A30F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0A22E4"/>
    <w:multiLevelType w:val="hybridMultilevel"/>
    <w:tmpl w:val="EE746386"/>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9EB6042"/>
    <w:multiLevelType w:val="hybridMultilevel"/>
    <w:tmpl w:val="BB66BB76"/>
    <w:lvl w:ilvl="0" w:tplc="2B70DAE4">
      <w:numFmt w:val="bullet"/>
      <w:pStyle w:val="Content1bullets"/>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D54CCB"/>
    <w:multiLevelType w:val="hybridMultilevel"/>
    <w:tmpl w:val="9DCE71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3"/>
  </w:num>
  <w:num w:numId="4">
    <w:abstractNumId w:val="11"/>
  </w:num>
  <w:num w:numId="5">
    <w:abstractNumId w:val="10"/>
  </w:num>
  <w:num w:numId="6">
    <w:abstractNumId w:val="5"/>
  </w:num>
  <w:num w:numId="7">
    <w:abstractNumId w:val="9"/>
  </w:num>
  <w:num w:numId="8">
    <w:abstractNumId w:val="10"/>
  </w:num>
  <w:num w:numId="9">
    <w:abstractNumId w:val="0"/>
  </w:num>
  <w:num w:numId="10">
    <w:abstractNumId w:val="12"/>
  </w:num>
  <w:num w:numId="11">
    <w:abstractNumId w:val="8"/>
  </w:num>
  <w:num w:numId="12">
    <w:abstractNumId w:val="7"/>
  </w:num>
  <w:num w:numId="13">
    <w:abstractNumId w:val="4"/>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77"/>
    <w:rsid w:val="000518C7"/>
    <w:rsid w:val="00131B77"/>
    <w:rsid w:val="00180FAB"/>
    <w:rsid w:val="001B40F1"/>
    <w:rsid w:val="001E52F9"/>
    <w:rsid w:val="001F5F8D"/>
    <w:rsid w:val="00201242"/>
    <w:rsid w:val="0021555C"/>
    <w:rsid w:val="002A0D5A"/>
    <w:rsid w:val="002A6A8F"/>
    <w:rsid w:val="002C6B94"/>
    <w:rsid w:val="00326BF4"/>
    <w:rsid w:val="003B1C24"/>
    <w:rsid w:val="003C1DD5"/>
    <w:rsid w:val="004062BC"/>
    <w:rsid w:val="00444459"/>
    <w:rsid w:val="00472C22"/>
    <w:rsid w:val="004B0DA9"/>
    <w:rsid w:val="004E2194"/>
    <w:rsid w:val="00503D5E"/>
    <w:rsid w:val="005858AC"/>
    <w:rsid w:val="00594271"/>
    <w:rsid w:val="005B451D"/>
    <w:rsid w:val="005E686A"/>
    <w:rsid w:val="00646825"/>
    <w:rsid w:val="0066503A"/>
    <w:rsid w:val="00690A42"/>
    <w:rsid w:val="00690FC7"/>
    <w:rsid w:val="006B765B"/>
    <w:rsid w:val="006E5471"/>
    <w:rsid w:val="00746880"/>
    <w:rsid w:val="007B3CFA"/>
    <w:rsid w:val="007E56BB"/>
    <w:rsid w:val="007F62E0"/>
    <w:rsid w:val="0080584E"/>
    <w:rsid w:val="008060F9"/>
    <w:rsid w:val="008C06E9"/>
    <w:rsid w:val="009A036E"/>
    <w:rsid w:val="009C265A"/>
    <w:rsid w:val="009E4C82"/>
    <w:rsid w:val="00A207F9"/>
    <w:rsid w:val="00A21F30"/>
    <w:rsid w:val="00A426B6"/>
    <w:rsid w:val="00A77034"/>
    <w:rsid w:val="00A77C96"/>
    <w:rsid w:val="00A911C1"/>
    <w:rsid w:val="00AE6958"/>
    <w:rsid w:val="00B00B0F"/>
    <w:rsid w:val="00B5560B"/>
    <w:rsid w:val="00BB7C4E"/>
    <w:rsid w:val="00C020E2"/>
    <w:rsid w:val="00C069EA"/>
    <w:rsid w:val="00C156A2"/>
    <w:rsid w:val="00C157A2"/>
    <w:rsid w:val="00C81620"/>
    <w:rsid w:val="00CC5FA7"/>
    <w:rsid w:val="00CF7041"/>
    <w:rsid w:val="00D11569"/>
    <w:rsid w:val="00D41AD5"/>
    <w:rsid w:val="00D76B05"/>
    <w:rsid w:val="00D952B4"/>
    <w:rsid w:val="00DD1BBA"/>
    <w:rsid w:val="00E15730"/>
    <w:rsid w:val="00E537E6"/>
    <w:rsid w:val="00F733D3"/>
    <w:rsid w:val="00FD59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00D345"/>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ntent 1"/>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customStyle="1" w:styleId="Content1afterH1">
    <w:name w:val="Content 1 (after H1)"/>
    <w:basedOn w:val="Normal"/>
    <w:link w:val="Content1afterH1Char"/>
    <w:qFormat/>
    <w:rsid w:val="00472C22"/>
    <w:pPr>
      <w:spacing w:before="360"/>
    </w:pPr>
  </w:style>
  <w:style w:type="paragraph" w:styleId="ListParagraph">
    <w:name w:val="List Paragraph"/>
    <w:basedOn w:val="Normal"/>
    <w:link w:val="ListParagraphChar"/>
    <w:uiPriority w:val="34"/>
    <w:qFormat/>
    <w:rsid w:val="00201242"/>
    <w:pPr>
      <w:ind w:left="720"/>
      <w:contextualSpacing/>
    </w:pPr>
  </w:style>
  <w:style w:type="character" w:customStyle="1" w:styleId="Content1afterH1Char">
    <w:name w:val="Content 1 (after H1) Char"/>
    <w:basedOn w:val="DefaultParagraphFont"/>
    <w:link w:val="Content1afterH1"/>
    <w:rsid w:val="00472C22"/>
  </w:style>
  <w:style w:type="paragraph" w:customStyle="1" w:styleId="Content1bullets">
    <w:name w:val="Content 1 (bullets)"/>
    <w:basedOn w:val="ListParagraph"/>
    <w:link w:val="Content1bulletsChar"/>
    <w:qFormat/>
    <w:rsid w:val="00503D5E"/>
    <w:pPr>
      <w:numPr>
        <w:numId w:val="5"/>
      </w:numPr>
      <w:spacing w:before="120"/>
      <w:ind w:left="709" w:hanging="425"/>
      <w:contextualSpacing w:val="0"/>
    </w:pPr>
  </w:style>
  <w:style w:type="character" w:customStyle="1" w:styleId="ListParagraphChar">
    <w:name w:val="List Paragraph Char"/>
    <w:basedOn w:val="DefaultParagraphFont"/>
    <w:link w:val="ListParagraph"/>
    <w:uiPriority w:val="34"/>
    <w:rsid w:val="00201242"/>
  </w:style>
  <w:style w:type="character" w:customStyle="1" w:styleId="Content1bulletsChar">
    <w:name w:val="Content 1 (bullets) Char"/>
    <w:basedOn w:val="ListParagraphChar"/>
    <w:link w:val="Content1bullets"/>
    <w:rsid w:val="00503D5E"/>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paragraph" w:customStyle="1" w:styleId="Heading2afterC1">
    <w:name w:val="Heading 2 (after C1)"/>
    <w:basedOn w:val="Normal"/>
    <w:qFormat/>
    <w:rsid w:val="00690A42"/>
    <w:pPr>
      <w:spacing w:before="240"/>
    </w:pPr>
    <w:rPr>
      <w:rFonts w:ascii="Roboto Medium" w:hAnsi="Roboto Medium"/>
      <w:sz w:val="24"/>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ContentBold">
    <w:name w:val="Content (Bold)"/>
    <w:basedOn w:val="Normal"/>
    <w:link w:val="ContentBoldChar"/>
    <w:qFormat/>
    <w:rsid w:val="005B451D"/>
    <w:rPr>
      <w:rFonts w:ascii="Roboto Medium" w:hAnsi="Roboto Medium"/>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Contentitalic">
    <w:name w:val="Content (italic)"/>
    <w:basedOn w:val="ContentBold"/>
    <w:link w:val="ContentitalicChar"/>
    <w:qFormat/>
    <w:rsid w:val="005B451D"/>
    <w:rPr>
      <w:rFonts w:ascii="Roboto Light" w:hAnsi="Roboto Light"/>
      <w:i/>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ContentBoldChar">
    <w:name w:val="Content (Bold) Char"/>
    <w:basedOn w:val="DefaultParagraphFont"/>
    <w:link w:val="ContentBold"/>
    <w:rsid w:val="005B451D"/>
    <w:rPr>
      <w:rFonts w:ascii="Roboto Medium" w:hAnsi="Roboto Medium"/>
    </w:rPr>
  </w:style>
  <w:style w:type="character" w:customStyle="1" w:styleId="ContentitalicChar">
    <w:name w:val="Content (italic) Char"/>
    <w:basedOn w:val="ContentBoldChar"/>
    <w:link w:val="Contentitalic"/>
    <w:rsid w:val="005B451D"/>
    <w:rPr>
      <w:rFonts w:ascii="Roboto Medium" w:hAnsi="Roboto Medium"/>
      <w:i/>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334278">
      <w:bodyDiv w:val="1"/>
      <w:marLeft w:val="0"/>
      <w:marRight w:val="0"/>
      <w:marTop w:val="0"/>
      <w:marBottom w:val="0"/>
      <w:divBdr>
        <w:top w:val="none" w:sz="0" w:space="0" w:color="auto"/>
        <w:left w:val="none" w:sz="0" w:space="0" w:color="auto"/>
        <w:bottom w:val="none" w:sz="0" w:space="0" w:color="auto"/>
        <w:right w:val="none" w:sz="0" w:space="0" w:color="auto"/>
      </w:divBdr>
    </w:div>
    <w:div w:id="1453555628">
      <w:bodyDiv w:val="1"/>
      <w:marLeft w:val="0"/>
      <w:marRight w:val="0"/>
      <w:marTop w:val="0"/>
      <w:marBottom w:val="0"/>
      <w:divBdr>
        <w:top w:val="none" w:sz="0" w:space="0" w:color="auto"/>
        <w:left w:val="none" w:sz="0" w:space="0" w:color="auto"/>
        <w:bottom w:val="none" w:sz="0" w:space="0" w:color="auto"/>
        <w:right w:val="none" w:sz="0" w:space="0" w:color="auto"/>
      </w:divBdr>
    </w:div>
    <w:div w:id="2053382630">
      <w:bodyDiv w:val="1"/>
      <w:marLeft w:val="0"/>
      <w:marRight w:val="0"/>
      <w:marTop w:val="0"/>
      <w:marBottom w:val="0"/>
      <w:divBdr>
        <w:top w:val="none" w:sz="0" w:space="0" w:color="auto"/>
        <w:left w:val="none" w:sz="0" w:space="0" w:color="auto"/>
        <w:bottom w:val="none" w:sz="0" w:space="0" w:color="auto"/>
        <w:right w:val="none" w:sz="0" w:space="0" w:color="auto"/>
      </w:divBdr>
    </w:div>
    <w:div w:id="205619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A782528</value>
    </field>
    <field name="Objective-Title">
      <value order="0">2018 Ancient Studies Subject Assessment Advice</value>
    </field>
    <field name="Objective-Description">
      <value order="0"/>
    </field>
    <field name="Objective-CreationStamp">
      <value order="0">2018-12-18T02:31:04Z</value>
    </field>
    <field name="Objective-IsApproved">
      <value order="0">false</value>
    </field>
    <field name="Objective-IsPublished">
      <value order="0">true</value>
    </field>
    <field name="Objective-DatePublished">
      <value order="0">2019-01-04T02:11:38Z</value>
    </field>
    <field name="Objective-ModificationStamp">
      <value order="0">2019-01-04T02:11:38Z</value>
    </field>
    <field name="Objective-Owner">
      <value order="0">Karen Collins</value>
    </field>
    <field name="Objective-Path">
      <value order="0">Objective Global Folder:Quality Assurance Cycle:Stage 2 - 4. Improving:Chief Assessors Reports:2018 Subject Assessment Advice:2018 Subject Assessment Advice (FINAL versions - work on these and publish):2018 SAA - UPLOADED</value>
    </field>
    <field name="Objective-Parent">
      <value order="0">2018 SAA - UPLOADED</value>
    </field>
    <field name="Objective-State">
      <value order="0">Published</value>
    </field>
    <field name="Objective-VersionId">
      <value order="0">vA1375651</value>
    </field>
    <field name="Objective-Version">
      <value order="0">5.0</value>
    </field>
    <field name="Objective-VersionNumber">
      <value order="0">6</value>
    </field>
    <field name="Objective-VersionComment">
      <value order="0"/>
    </field>
    <field name="Objective-FileNumber">
      <value order="0">qA16984</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EB73BFC6-DA5F-451D-98F3-CEF2D04DA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2145</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Collins, Karen (SACE)</cp:lastModifiedBy>
  <cp:revision>10</cp:revision>
  <dcterms:created xsi:type="dcterms:W3CDTF">2018-12-17T01:16:00Z</dcterms:created>
  <dcterms:modified xsi:type="dcterms:W3CDTF">2019-02-15T01:11:00Z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A782528</vt:lpwstr>
  </property>
  <property fmtid="{D5CDD505-2E9C-101B-9397-08002B2CF9AE}" pid="4" name="Objective-Title">
    <vt:lpwstr>2018 Ancient Studies Subject Assessment Advice</vt:lpwstr>
  </property>
  <property fmtid="{D5CDD505-2E9C-101B-9397-08002B2CF9AE}" pid="5" name="Objective-Description">
    <vt:lpwstr/>
  </property>
  <property fmtid="{D5CDD505-2E9C-101B-9397-08002B2CF9AE}" pid="6" name="Objective-CreationStamp">
    <vt:filetime>2018-12-18T02:31:04Z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2019-01-04T02:11:38Z</vt:filetime>
  </property>
  <property fmtid="{D5CDD505-2E9C-101B-9397-08002B2CF9AE}" pid="10" name="Objective-ModificationStamp">
    <vt:filetime>2019-01-04T02:11:38Z</vt:filetime>
  </property>
  <property fmtid="{D5CDD505-2E9C-101B-9397-08002B2CF9AE}" pid="11" name="Objective-Owner">
    <vt:lpwstr>Karen Collins</vt:lpwstr>
  </property>
  <property fmtid="{D5CDD505-2E9C-101B-9397-08002B2CF9AE}" pid="12" name="Objective-Path">
    <vt:lpwstr>Objective Global Folder:Quality Assurance Cycle:Stage 2 - 4. Improving:Chief Assessors Reports:2018 Subject Assessment Advice:2018 Subject Assessment Advice (FINAL versions - work on these and publish):2018 SAA - UPLOADED</vt:lpwstr>
  </property>
  <property fmtid="{D5CDD505-2E9C-101B-9397-08002B2CF9AE}" pid="13" name="Objective-Parent">
    <vt:lpwstr>2018 SAA - UPLOADED</vt:lpwstr>
  </property>
  <property fmtid="{D5CDD505-2E9C-101B-9397-08002B2CF9AE}" pid="14" name="Objective-State">
    <vt:lpwstr>Published</vt:lpwstr>
  </property>
  <property fmtid="{D5CDD505-2E9C-101B-9397-08002B2CF9AE}" pid="15" name="Objective-VersionId">
    <vt:lpwstr>vA1375651</vt:lpwstr>
  </property>
  <property fmtid="{D5CDD505-2E9C-101B-9397-08002B2CF9AE}" pid="16" name="Objective-Version">
    <vt:lpwstr>5.0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qA16984</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