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16431E">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16431E">
        <w:rPr>
          <w:rFonts w:cs="Arial"/>
          <w:b/>
          <w:bCs/>
          <w:sz w:val="28"/>
          <w:szCs w:val="28"/>
        </w:rPr>
        <w:t>Italian</w:t>
      </w:r>
      <w:r w:rsidR="00C8172A">
        <w:rPr>
          <w:rFonts w:cs="Arial"/>
          <w:b/>
          <w:bCs/>
          <w:sz w:val="28"/>
          <w:szCs w:val="28"/>
        </w:rPr>
        <w:t xml:space="preserve"> </w:t>
      </w:r>
      <w:r w:rsidR="009C1F38">
        <w:rPr>
          <w:rFonts w:cs="Arial"/>
          <w:b/>
          <w:bCs/>
          <w:sz w:val="28"/>
          <w:szCs w:val="28"/>
        </w:rPr>
        <w:t>(beginners)</w:t>
      </w:r>
      <w:r w:rsidR="00573931">
        <w:rPr>
          <w:rFonts w:cs="Arial"/>
          <w:b/>
          <w:bCs/>
          <w:sz w:val="28"/>
          <w:szCs w:val="28"/>
        </w:rPr>
        <w:t xml:space="preserve"> </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16431E" w:rsidP="00BA2185">
            <w:pPr>
              <w:jc w:val="center"/>
              <w:rPr>
                <w:b/>
              </w:rPr>
            </w:pPr>
            <w:r>
              <w:rPr>
                <w:b/>
              </w:rPr>
              <w:t>I</w:t>
            </w:r>
          </w:p>
        </w:tc>
        <w:tc>
          <w:tcPr>
            <w:tcW w:w="500" w:type="dxa"/>
            <w:shd w:val="clear" w:color="auto" w:fill="auto"/>
            <w:vAlign w:val="center"/>
          </w:tcPr>
          <w:p w:rsidR="006A2B3D" w:rsidRPr="00F66744" w:rsidRDefault="0016431E" w:rsidP="00BA2185">
            <w:pPr>
              <w:jc w:val="center"/>
              <w:rPr>
                <w:b/>
              </w:rPr>
            </w:pPr>
            <w:r>
              <w:rPr>
                <w:b/>
              </w:rPr>
              <w:t>T</w:t>
            </w:r>
          </w:p>
        </w:tc>
        <w:tc>
          <w:tcPr>
            <w:tcW w:w="500" w:type="dxa"/>
            <w:shd w:val="clear" w:color="auto" w:fill="auto"/>
            <w:vAlign w:val="center"/>
          </w:tcPr>
          <w:p w:rsidR="006A2B3D" w:rsidRPr="003B2B0E" w:rsidRDefault="003E285B" w:rsidP="00BA2185">
            <w:pPr>
              <w:jc w:val="center"/>
              <w:rPr>
                <w:b/>
              </w:rPr>
            </w:pPr>
            <w:r>
              <w:rPr>
                <w:b/>
              </w:rPr>
              <w:t>B</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16431E">
      <w:pPr>
        <w:pStyle w:val="LAPHeading"/>
      </w:pPr>
      <w:r w:rsidRPr="004963F3">
        <w:lastRenderedPageBreak/>
        <w:t xml:space="preserve">Stage </w:t>
      </w:r>
      <w:r>
        <w:t xml:space="preserve">1 </w:t>
      </w:r>
      <w:r w:rsidR="0016431E">
        <w:t>Italian</w:t>
      </w:r>
      <w:r w:rsidR="009C1F38">
        <w:t xml:space="preserve"> (beginners)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796"/>
        <w:gridCol w:w="708"/>
        <w:gridCol w:w="709"/>
        <w:gridCol w:w="709"/>
        <w:gridCol w:w="3544"/>
      </w:tblGrid>
      <w:tr w:rsidR="00573931" w:rsidRPr="00573931" w:rsidTr="00837837">
        <w:trPr>
          <w:trHeight w:val="345"/>
          <w:tblHeader/>
        </w:trPr>
        <w:tc>
          <w:tcPr>
            <w:tcW w:w="2235"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and Weighting</w:t>
            </w:r>
          </w:p>
        </w:tc>
        <w:tc>
          <w:tcPr>
            <w:tcW w:w="7796" w:type="dxa"/>
            <w:vMerge w:val="restart"/>
            <w:shd w:val="clear" w:color="auto" w:fill="auto"/>
            <w:vAlign w:val="center"/>
          </w:tcPr>
          <w:p w:rsidR="00573931" w:rsidRPr="00573931" w:rsidRDefault="00573931" w:rsidP="005E06A1">
            <w:pPr>
              <w:pStyle w:val="ACLAPTableText"/>
              <w:jc w:val="center"/>
              <w:rPr>
                <w:b/>
              </w:rPr>
            </w:pPr>
            <w:r w:rsidRPr="00573931">
              <w:rPr>
                <w:b/>
              </w:rPr>
              <w:t>Details of assessment</w:t>
            </w:r>
          </w:p>
        </w:tc>
        <w:tc>
          <w:tcPr>
            <w:tcW w:w="2126" w:type="dxa"/>
            <w:gridSpan w:val="3"/>
            <w:shd w:val="clear" w:color="auto" w:fill="auto"/>
            <w:vAlign w:val="center"/>
          </w:tcPr>
          <w:p w:rsidR="00573931" w:rsidRPr="00573931" w:rsidRDefault="00573931" w:rsidP="005E06A1">
            <w:pPr>
              <w:pStyle w:val="ACLAPTableText"/>
              <w:jc w:val="center"/>
              <w:rPr>
                <w:b/>
              </w:rPr>
            </w:pPr>
            <w:r w:rsidRPr="00573931">
              <w:rPr>
                <w:b/>
              </w:rPr>
              <w:t>Assessment Design Criteria</w:t>
            </w:r>
          </w:p>
        </w:tc>
        <w:tc>
          <w:tcPr>
            <w:tcW w:w="3544" w:type="dxa"/>
            <w:vMerge w:val="restart"/>
            <w:shd w:val="clear" w:color="auto" w:fill="auto"/>
            <w:vAlign w:val="center"/>
          </w:tcPr>
          <w:p w:rsidR="00573931" w:rsidRPr="00573931" w:rsidRDefault="00573931" w:rsidP="005E06A1">
            <w:pPr>
              <w:pStyle w:val="ACLAPTableText"/>
              <w:jc w:val="center"/>
              <w:rPr>
                <w:b/>
              </w:rPr>
            </w:pPr>
            <w:r w:rsidRPr="00573931">
              <w:rPr>
                <w:b/>
              </w:rPr>
              <w:t>Assessment conditions</w:t>
            </w:r>
          </w:p>
          <w:p w:rsidR="00573931" w:rsidRPr="00573931" w:rsidRDefault="00573931" w:rsidP="005E06A1">
            <w:pPr>
              <w:pStyle w:val="ACLAPTableText"/>
              <w:jc w:val="center"/>
            </w:pPr>
            <w:r w:rsidRPr="00573931">
              <w:t>(e.g. task type, word length, time allocated, supervision)</w:t>
            </w:r>
          </w:p>
        </w:tc>
      </w:tr>
      <w:tr w:rsidR="00573931" w:rsidRPr="00573931" w:rsidTr="00837837">
        <w:trPr>
          <w:trHeight w:val="345"/>
          <w:tblHeader/>
        </w:trPr>
        <w:tc>
          <w:tcPr>
            <w:tcW w:w="2235" w:type="dxa"/>
            <w:vMerge/>
            <w:shd w:val="clear" w:color="auto" w:fill="auto"/>
            <w:vAlign w:val="center"/>
          </w:tcPr>
          <w:p w:rsidR="00573931" w:rsidRPr="00573931" w:rsidRDefault="00573931" w:rsidP="005E06A1">
            <w:pPr>
              <w:jc w:val="center"/>
              <w:rPr>
                <w:rFonts w:cs="Arial"/>
                <w:b/>
                <w:bCs/>
                <w:sz w:val="20"/>
                <w:szCs w:val="20"/>
                <w:lang w:val="en-US"/>
              </w:rPr>
            </w:pPr>
          </w:p>
        </w:tc>
        <w:tc>
          <w:tcPr>
            <w:tcW w:w="7796" w:type="dxa"/>
            <w:vMerge/>
            <w:shd w:val="clear" w:color="auto" w:fill="auto"/>
            <w:vAlign w:val="center"/>
          </w:tcPr>
          <w:p w:rsidR="00573931" w:rsidRPr="00573931" w:rsidRDefault="00573931" w:rsidP="005E06A1">
            <w:pPr>
              <w:jc w:val="center"/>
              <w:rPr>
                <w:rFonts w:cs="Arial"/>
                <w:b/>
                <w:bCs/>
                <w:sz w:val="20"/>
                <w:szCs w:val="20"/>
                <w:lang w:val="en-US"/>
              </w:rPr>
            </w:pPr>
          </w:p>
        </w:tc>
        <w:tc>
          <w:tcPr>
            <w:tcW w:w="708"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w:t>
            </w: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E</w:t>
            </w: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IR</w:t>
            </w:r>
          </w:p>
        </w:tc>
        <w:tc>
          <w:tcPr>
            <w:tcW w:w="3544" w:type="dxa"/>
            <w:vMerge/>
            <w:shd w:val="clear" w:color="auto" w:fill="auto"/>
            <w:vAlign w:val="center"/>
          </w:tcPr>
          <w:p w:rsidR="00573931" w:rsidRPr="00573931" w:rsidRDefault="00573931" w:rsidP="005E06A1">
            <w:pPr>
              <w:rPr>
                <w:rFonts w:cs="Arial"/>
                <w:sz w:val="20"/>
                <w:szCs w:val="20"/>
                <w:lang w:val="en-US"/>
              </w:rPr>
            </w:pPr>
          </w:p>
        </w:tc>
      </w:tr>
      <w:tr w:rsidR="00573931" w:rsidRPr="00573931" w:rsidTr="00837837">
        <w:trPr>
          <w:trHeight w:val="1427"/>
        </w:trPr>
        <w:tc>
          <w:tcPr>
            <w:tcW w:w="2235"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1: Interaction</w:t>
            </w:r>
          </w:p>
          <w:p w:rsidR="00573931" w:rsidRPr="00573931" w:rsidRDefault="00573931" w:rsidP="005E06A1">
            <w:pPr>
              <w:pStyle w:val="LAPTableText"/>
              <w:jc w:val="center"/>
              <w:rPr>
                <w:b/>
                <w:sz w:val="20"/>
                <w:szCs w:val="20"/>
                <w:lang w:val="en-US"/>
              </w:rPr>
            </w:pPr>
          </w:p>
          <w:p w:rsidR="00573931" w:rsidRPr="00573931" w:rsidRDefault="00573931" w:rsidP="005E06A1">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50</w:t>
            </w:r>
            <w:r w:rsidRPr="00573931">
              <w:rPr>
                <w:b/>
                <w:sz w:val="20"/>
                <w:szCs w:val="20"/>
                <w:lang w:val="en-US"/>
              </w:rPr>
              <w:t>%</w:t>
            </w:r>
          </w:p>
        </w:tc>
        <w:tc>
          <w:tcPr>
            <w:tcW w:w="7796" w:type="dxa"/>
            <w:shd w:val="clear" w:color="auto" w:fill="auto"/>
            <w:vAlign w:val="center"/>
          </w:tcPr>
          <w:p w:rsidR="00573931" w:rsidRPr="00837837" w:rsidRDefault="0016431E" w:rsidP="00837837">
            <w:pPr>
              <w:pStyle w:val="ACLAPTableText"/>
              <w:rPr>
                <w:sz w:val="19"/>
                <w:szCs w:val="19"/>
              </w:rPr>
            </w:pPr>
            <w:r w:rsidRPr="00837837">
              <w:rPr>
                <w:sz w:val="19"/>
                <w:szCs w:val="19"/>
              </w:rPr>
              <w:t>Students give a talk, in Italian, to the class introducing themselves and providing personal details. Students demonstrate their ability to engage the audience using appropriate conventions of a presentation, provide relevant information about a range of familiar topics (e.g. family, pets, home, school etc.) in a logical manner, use a range of appropriate vocabulary and sentence structures accurately, and use accurate pronunciation, intonation and stress to enhance communication.</w:t>
            </w:r>
          </w:p>
        </w:tc>
        <w:tc>
          <w:tcPr>
            <w:tcW w:w="708"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w:t>
            </w:r>
          </w:p>
        </w:tc>
        <w:tc>
          <w:tcPr>
            <w:tcW w:w="709"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w:t>
            </w:r>
          </w:p>
        </w:tc>
        <w:tc>
          <w:tcPr>
            <w:tcW w:w="709" w:type="dxa"/>
            <w:shd w:val="clear" w:color="auto" w:fill="auto"/>
            <w:vAlign w:val="center"/>
          </w:tcPr>
          <w:p w:rsidR="00573931" w:rsidRPr="00837837" w:rsidRDefault="00573931" w:rsidP="005E06A1">
            <w:pPr>
              <w:pStyle w:val="ACLAPTableText"/>
              <w:rPr>
                <w:sz w:val="19"/>
                <w:szCs w:val="19"/>
                <w:lang w:val="en-US"/>
              </w:rPr>
            </w:pPr>
          </w:p>
        </w:tc>
        <w:tc>
          <w:tcPr>
            <w:tcW w:w="3544" w:type="dxa"/>
            <w:shd w:val="clear" w:color="auto" w:fill="auto"/>
          </w:tcPr>
          <w:p w:rsidR="0016431E" w:rsidRPr="00837837" w:rsidRDefault="0016431E" w:rsidP="0016431E">
            <w:pPr>
              <w:spacing w:before="40" w:after="40"/>
              <w:rPr>
                <w:rFonts w:eastAsiaTheme="minorHAnsi" w:cstheme="minorBidi"/>
                <w:sz w:val="19"/>
                <w:szCs w:val="19"/>
              </w:rPr>
            </w:pPr>
            <w:r w:rsidRPr="00837837">
              <w:rPr>
                <w:rFonts w:eastAsiaTheme="minorHAnsi" w:cstheme="minorBidi"/>
                <w:sz w:val="19"/>
                <w:szCs w:val="19"/>
              </w:rPr>
              <w:t>Oral</w:t>
            </w:r>
          </w:p>
          <w:p w:rsidR="0016431E" w:rsidRPr="00837837" w:rsidRDefault="0016431E" w:rsidP="0016431E">
            <w:pPr>
              <w:spacing w:before="40" w:after="40"/>
              <w:rPr>
                <w:rFonts w:eastAsiaTheme="minorHAnsi" w:cstheme="minorBidi"/>
                <w:sz w:val="19"/>
                <w:szCs w:val="19"/>
              </w:rPr>
            </w:pPr>
            <w:r w:rsidRPr="00837837">
              <w:rPr>
                <w:rFonts w:eastAsiaTheme="minorHAnsi" w:cstheme="minorBidi"/>
                <w:sz w:val="19"/>
                <w:szCs w:val="19"/>
              </w:rPr>
              <w:t>Performed in front of class</w:t>
            </w:r>
          </w:p>
          <w:p w:rsidR="00573931" w:rsidRPr="00837837" w:rsidRDefault="0016431E" w:rsidP="0016431E">
            <w:pPr>
              <w:spacing w:before="40" w:after="40"/>
              <w:rPr>
                <w:sz w:val="19"/>
                <w:szCs w:val="19"/>
              </w:rPr>
            </w:pPr>
            <w:r w:rsidRPr="00837837">
              <w:rPr>
                <w:rFonts w:eastAsiaTheme="minorHAnsi" w:cstheme="minorBidi"/>
                <w:sz w:val="19"/>
                <w:szCs w:val="19"/>
              </w:rPr>
              <w:t>Presentation length: approximately 2 minutes with support of cue cards</w:t>
            </w:r>
          </w:p>
        </w:tc>
      </w:tr>
      <w:tr w:rsidR="00573931" w:rsidRPr="00573931" w:rsidTr="00837837">
        <w:trPr>
          <w:trHeight w:val="1548"/>
        </w:trPr>
        <w:tc>
          <w:tcPr>
            <w:tcW w:w="2235" w:type="dxa"/>
            <w:vMerge/>
            <w:shd w:val="clear" w:color="auto" w:fill="auto"/>
            <w:vAlign w:val="center"/>
          </w:tcPr>
          <w:p w:rsidR="00573931" w:rsidRPr="00573931" w:rsidRDefault="00573931" w:rsidP="005E06A1">
            <w:pPr>
              <w:pStyle w:val="LAPTableText"/>
              <w:jc w:val="center"/>
              <w:rPr>
                <w:b/>
                <w:sz w:val="20"/>
                <w:szCs w:val="20"/>
                <w:lang w:val="en-US"/>
              </w:rPr>
            </w:pPr>
          </w:p>
        </w:tc>
        <w:tc>
          <w:tcPr>
            <w:tcW w:w="7796" w:type="dxa"/>
            <w:shd w:val="clear" w:color="auto" w:fill="auto"/>
            <w:vAlign w:val="center"/>
          </w:tcPr>
          <w:p w:rsidR="00573931" w:rsidRPr="00837837" w:rsidRDefault="0016431E" w:rsidP="00837837">
            <w:pPr>
              <w:pStyle w:val="ACLAPTableText"/>
              <w:rPr>
                <w:sz w:val="19"/>
                <w:szCs w:val="19"/>
              </w:rPr>
            </w:pPr>
            <w:r w:rsidRPr="00837837">
              <w:rPr>
                <w:sz w:val="19"/>
                <w:szCs w:val="19"/>
              </w:rPr>
              <w:t>Students prepare and present a role play in Italian where they order a meal and a drink at a restaurant and then pay the bill. Students demonstrate their ability to relate appropriate information using a range of language appropriate to the context, purpose, and audience accurately and fluently, use pronunciation, intonation and stress effectively to enhance communication, use effective communication strategies to maintain the interaction and go beyond minimal responses to engage the audience (waiter/waitress).</w:t>
            </w:r>
          </w:p>
        </w:tc>
        <w:tc>
          <w:tcPr>
            <w:tcW w:w="708"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w:t>
            </w:r>
          </w:p>
        </w:tc>
        <w:tc>
          <w:tcPr>
            <w:tcW w:w="709"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w:t>
            </w:r>
            <w:r w:rsidR="0016431E" w:rsidRPr="00837837">
              <w:rPr>
                <w:sz w:val="19"/>
                <w:szCs w:val="19"/>
                <w:lang w:val="en-US"/>
              </w:rPr>
              <w:t>,3</w:t>
            </w:r>
          </w:p>
        </w:tc>
        <w:tc>
          <w:tcPr>
            <w:tcW w:w="709" w:type="dxa"/>
            <w:shd w:val="clear" w:color="auto" w:fill="auto"/>
            <w:vAlign w:val="center"/>
          </w:tcPr>
          <w:p w:rsidR="00573931" w:rsidRPr="00837837" w:rsidRDefault="00573931" w:rsidP="005E06A1">
            <w:pPr>
              <w:pStyle w:val="ACLAPTableText"/>
              <w:rPr>
                <w:sz w:val="19"/>
                <w:szCs w:val="19"/>
                <w:lang w:val="en-US"/>
              </w:rPr>
            </w:pPr>
          </w:p>
        </w:tc>
        <w:tc>
          <w:tcPr>
            <w:tcW w:w="3544" w:type="dxa"/>
            <w:shd w:val="clear" w:color="auto" w:fill="auto"/>
          </w:tcPr>
          <w:p w:rsidR="0016431E" w:rsidRPr="00837837" w:rsidRDefault="0016431E" w:rsidP="0016431E">
            <w:pPr>
              <w:spacing w:before="40" w:after="40"/>
              <w:rPr>
                <w:rFonts w:eastAsiaTheme="minorHAnsi" w:cstheme="minorBidi"/>
                <w:sz w:val="19"/>
                <w:szCs w:val="19"/>
              </w:rPr>
            </w:pPr>
            <w:r w:rsidRPr="00837837">
              <w:rPr>
                <w:rFonts w:eastAsiaTheme="minorHAnsi" w:cstheme="minorBidi"/>
                <w:sz w:val="19"/>
                <w:szCs w:val="19"/>
              </w:rPr>
              <w:t>Oral</w:t>
            </w:r>
          </w:p>
          <w:p w:rsidR="0016431E" w:rsidRPr="00837837" w:rsidRDefault="0016431E" w:rsidP="0016431E">
            <w:pPr>
              <w:spacing w:before="40" w:after="40"/>
              <w:rPr>
                <w:rFonts w:eastAsiaTheme="minorHAnsi" w:cstheme="minorBidi"/>
                <w:sz w:val="19"/>
                <w:szCs w:val="19"/>
              </w:rPr>
            </w:pPr>
            <w:r w:rsidRPr="00837837">
              <w:rPr>
                <w:rFonts w:eastAsiaTheme="minorHAnsi" w:cstheme="minorBidi"/>
                <w:sz w:val="19"/>
                <w:szCs w:val="19"/>
              </w:rPr>
              <w:t xml:space="preserve">Role-play performed with teacher in role of waiter/waitress </w:t>
            </w:r>
          </w:p>
          <w:p w:rsidR="00573931" w:rsidRPr="00837837" w:rsidRDefault="0016431E" w:rsidP="0016431E">
            <w:pPr>
              <w:rPr>
                <w:sz w:val="19"/>
                <w:szCs w:val="19"/>
              </w:rPr>
            </w:pPr>
            <w:r w:rsidRPr="00837837">
              <w:rPr>
                <w:rFonts w:eastAsiaTheme="minorHAnsi" w:cstheme="minorBidi"/>
                <w:sz w:val="19"/>
                <w:szCs w:val="19"/>
              </w:rPr>
              <w:t>Duration: 2 - 3 minutes</w:t>
            </w:r>
            <w:r w:rsidR="00E073F4" w:rsidRPr="00837837">
              <w:rPr>
                <w:rFonts w:cs="Arial"/>
                <w:sz w:val="19"/>
                <w:szCs w:val="19"/>
              </w:rPr>
              <w:t xml:space="preserve"> </w:t>
            </w:r>
          </w:p>
        </w:tc>
      </w:tr>
      <w:tr w:rsidR="00573931" w:rsidRPr="00573931" w:rsidTr="00837837">
        <w:trPr>
          <w:trHeight w:val="1697"/>
        </w:trPr>
        <w:tc>
          <w:tcPr>
            <w:tcW w:w="2235"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2: Text Production</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796" w:type="dxa"/>
            <w:shd w:val="clear" w:color="auto" w:fill="auto"/>
            <w:vAlign w:val="center"/>
          </w:tcPr>
          <w:p w:rsidR="00573931" w:rsidRPr="00837837" w:rsidRDefault="0016431E" w:rsidP="00837837">
            <w:pPr>
              <w:pStyle w:val="ACLAPTableText"/>
              <w:rPr>
                <w:sz w:val="19"/>
                <w:szCs w:val="19"/>
              </w:rPr>
            </w:pPr>
            <w:r w:rsidRPr="00837837">
              <w:rPr>
                <w:sz w:val="19"/>
                <w:szCs w:val="19"/>
              </w:rPr>
              <w:t>Students respond by email, in Italian, to a birthday card from a pen pal in which they share information about their recent birthday celebration. Students describe their birthday activities (including times, places, who was involved) thereby demonstrating their ability to: relate appropriate information logically and effectively; use appropriate language for the context, purpose and audience; use appropriate sentence structure (gender and noun agreement, present perfect tense of regular and irregular verbs, linking words); and adhere to the text type conventions of an email.</w:t>
            </w:r>
          </w:p>
        </w:tc>
        <w:tc>
          <w:tcPr>
            <w:tcW w:w="708"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w:t>
            </w:r>
          </w:p>
        </w:tc>
        <w:tc>
          <w:tcPr>
            <w:tcW w:w="709"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w:t>
            </w:r>
          </w:p>
        </w:tc>
        <w:tc>
          <w:tcPr>
            <w:tcW w:w="709" w:type="dxa"/>
            <w:shd w:val="clear" w:color="auto" w:fill="auto"/>
            <w:vAlign w:val="center"/>
          </w:tcPr>
          <w:p w:rsidR="00573931" w:rsidRPr="00837837" w:rsidRDefault="00573931" w:rsidP="005E06A1">
            <w:pPr>
              <w:pStyle w:val="ACLAPTableText"/>
              <w:rPr>
                <w:sz w:val="19"/>
                <w:szCs w:val="19"/>
                <w:lang w:val="en-US"/>
              </w:rPr>
            </w:pPr>
          </w:p>
        </w:tc>
        <w:tc>
          <w:tcPr>
            <w:tcW w:w="3544" w:type="dxa"/>
            <w:shd w:val="clear" w:color="auto" w:fill="auto"/>
          </w:tcPr>
          <w:p w:rsidR="0016431E" w:rsidRPr="00837837" w:rsidRDefault="0016431E" w:rsidP="0016431E">
            <w:pPr>
              <w:spacing w:before="40" w:after="40"/>
              <w:rPr>
                <w:rFonts w:eastAsiaTheme="minorHAnsi" w:cstheme="minorBidi"/>
                <w:sz w:val="19"/>
                <w:szCs w:val="19"/>
              </w:rPr>
            </w:pPr>
            <w:r w:rsidRPr="00837837">
              <w:rPr>
                <w:rFonts w:eastAsiaTheme="minorHAnsi" w:cstheme="minorBidi"/>
                <w:sz w:val="19"/>
                <w:szCs w:val="19"/>
              </w:rPr>
              <w:t>Written</w:t>
            </w:r>
          </w:p>
          <w:p w:rsidR="0016431E" w:rsidRPr="00837837" w:rsidRDefault="0016431E" w:rsidP="0016431E">
            <w:pPr>
              <w:spacing w:before="40" w:after="40"/>
              <w:rPr>
                <w:rFonts w:eastAsiaTheme="minorHAnsi" w:cstheme="minorBidi"/>
                <w:sz w:val="19"/>
                <w:szCs w:val="19"/>
              </w:rPr>
            </w:pPr>
            <w:r w:rsidRPr="00837837">
              <w:rPr>
                <w:rFonts w:eastAsiaTheme="minorHAnsi" w:cstheme="minorBidi"/>
                <w:sz w:val="19"/>
                <w:szCs w:val="19"/>
              </w:rPr>
              <w:t>Response length: approximately 100 words</w:t>
            </w:r>
          </w:p>
          <w:p w:rsidR="00573931" w:rsidRPr="00837837" w:rsidRDefault="0016431E" w:rsidP="0016431E">
            <w:pPr>
              <w:pStyle w:val="ACLAPTableText"/>
              <w:rPr>
                <w:sz w:val="19"/>
                <w:szCs w:val="19"/>
              </w:rPr>
            </w:pPr>
            <w:r w:rsidRPr="00837837">
              <w:rPr>
                <w:rFonts w:eastAsiaTheme="minorHAnsi" w:cstheme="minorBidi"/>
                <w:sz w:val="19"/>
                <w:szCs w:val="19"/>
              </w:rPr>
              <w:t>One double lesson and homework time provided for the completion of this task</w:t>
            </w:r>
          </w:p>
        </w:tc>
      </w:tr>
      <w:tr w:rsidR="00573931" w:rsidRPr="00573931" w:rsidTr="00837837">
        <w:trPr>
          <w:trHeight w:val="1552"/>
        </w:trPr>
        <w:tc>
          <w:tcPr>
            <w:tcW w:w="2235"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3: Text Analysis</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796" w:type="dxa"/>
            <w:shd w:val="clear" w:color="auto" w:fill="auto"/>
            <w:vAlign w:val="center"/>
          </w:tcPr>
          <w:p w:rsidR="00573931" w:rsidRPr="00837837" w:rsidRDefault="0016431E" w:rsidP="00837837">
            <w:pPr>
              <w:pStyle w:val="ACLAPTableText"/>
              <w:rPr>
                <w:sz w:val="19"/>
                <w:szCs w:val="19"/>
              </w:rPr>
            </w:pPr>
            <w:r w:rsidRPr="00837837">
              <w:rPr>
                <w:sz w:val="19"/>
                <w:szCs w:val="19"/>
              </w:rPr>
              <w:t>Students read a conversation between two people and then answer questions in English and Italian, thus demonstrating their ability to identify and explain key concepts in the text, draw conclusions about the purpose, audience and message of the text and justify these with appropriate evidence, make connections within the text, and analyse cultural references and linguistic features. They also reflect on ways in which cultural values and practices are represented in the text, as well as on their own values.</w:t>
            </w:r>
          </w:p>
        </w:tc>
        <w:tc>
          <w:tcPr>
            <w:tcW w:w="708" w:type="dxa"/>
            <w:shd w:val="clear" w:color="auto" w:fill="auto"/>
            <w:vAlign w:val="center"/>
          </w:tcPr>
          <w:p w:rsidR="00573931" w:rsidRPr="00837837" w:rsidRDefault="00573931" w:rsidP="005E06A1">
            <w:pPr>
              <w:pStyle w:val="ACLAPTableText"/>
              <w:rPr>
                <w:sz w:val="19"/>
                <w:szCs w:val="19"/>
                <w:lang w:val="en-US"/>
              </w:rPr>
            </w:pPr>
          </w:p>
        </w:tc>
        <w:tc>
          <w:tcPr>
            <w:tcW w:w="709" w:type="dxa"/>
            <w:shd w:val="clear" w:color="auto" w:fill="auto"/>
            <w:vAlign w:val="center"/>
          </w:tcPr>
          <w:p w:rsidR="00573931" w:rsidRPr="00837837" w:rsidRDefault="0016431E" w:rsidP="00E073F4">
            <w:pPr>
              <w:pStyle w:val="ACLAPTableText"/>
              <w:jc w:val="center"/>
              <w:rPr>
                <w:sz w:val="19"/>
                <w:szCs w:val="19"/>
                <w:lang w:val="en-US"/>
              </w:rPr>
            </w:pPr>
            <w:r w:rsidRPr="00837837">
              <w:rPr>
                <w:sz w:val="19"/>
                <w:szCs w:val="19"/>
                <w:lang w:val="en-US"/>
              </w:rPr>
              <w:t>1,</w:t>
            </w:r>
            <w:r w:rsidR="00E073F4" w:rsidRPr="00837837">
              <w:rPr>
                <w:sz w:val="19"/>
                <w:szCs w:val="19"/>
                <w:lang w:val="en-US"/>
              </w:rPr>
              <w:t>2</w:t>
            </w:r>
          </w:p>
        </w:tc>
        <w:tc>
          <w:tcPr>
            <w:tcW w:w="709" w:type="dxa"/>
            <w:shd w:val="clear" w:color="auto" w:fill="auto"/>
            <w:vAlign w:val="center"/>
          </w:tcPr>
          <w:p w:rsidR="00573931" w:rsidRPr="00837837" w:rsidRDefault="003E285B" w:rsidP="003E285B">
            <w:pPr>
              <w:pStyle w:val="ACLAPTableText"/>
              <w:jc w:val="center"/>
              <w:rPr>
                <w:sz w:val="19"/>
                <w:szCs w:val="19"/>
                <w:lang w:val="en-US"/>
              </w:rPr>
            </w:pPr>
            <w:r w:rsidRPr="00837837">
              <w:rPr>
                <w:sz w:val="19"/>
                <w:szCs w:val="19"/>
                <w:lang w:val="en-US"/>
              </w:rPr>
              <w:t>1,2,3</w:t>
            </w:r>
          </w:p>
        </w:tc>
        <w:tc>
          <w:tcPr>
            <w:tcW w:w="3544" w:type="dxa"/>
            <w:shd w:val="clear" w:color="auto" w:fill="auto"/>
          </w:tcPr>
          <w:p w:rsidR="00E073F4" w:rsidRPr="00837837" w:rsidRDefault="00E073F4" w:rsidP="00E073F4">
            <w:pPr>
              <w:spacing w:before="40" w:after="40"/>
              <w:rPr>
                <w:rFonts w:eastAsiaTheme="minorHAnsi" w:cstheme="minorBidi"/>
                <w:sz w:val="19"/>
                <w:szCs w:val="19"/>
              </w:rPr>
            </w:pPr>
            <w:r w:rsidRPr="00837837">
              <w:rPr>
                <w:rFonts w:eastAsiaTheme="minorHAnsi" w:cstheme="minorBidi"/>
                <w:sz w:val="19"/>
                <w:szCs w:val="19"/>
              </w:rPr>
              <w:t>Written</w:t>
            </w:r>
          </w:p>
          <w:p w:rsidR="00573931" w:rsidRPr="00837837" w:rsidRDefault="00E073F4" w:rsidP="00E073F4">
            <w:pPr>
              <w:spacing w:before="40" w:after="40"/>
              <w:rPr>
                <w:sz w:val="19"/>
                <w:szCs w:val="19"/>
              </w:rPr>
            </w:pPr>
            <w:r w:rsidRPr="00837837">
              <w:rPr>
                <w:rFonts w:eastAsiaTheme="minorHAnsi" w:cstheme="minorBidi"/>
                <w:sz w:val="19"/>
                <w:szCs w:val="19"/>
              </w:rPr>
              <w:t>45 minutes in class under test conditions, with printed, bilingual dictionary support</w:t>
            </w:r>
          </w:p>
        </w:tc>
      </w:tr>
    </w:tbl>
    <w:p w:rsidR="002A53B7" w:rsidRPr="00A45A49" w:rsidRDefault="002A53B7" w:rsidP="002A53B7"/>
    <w:p w:rsidR="00573931" w:rsidRPr="000B27F6" w:rsidRDefault="00573931" w:rsidP="008C00A1">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8C00A1">
        <w:rPr>
          <w:rFonts w:cs="Arial"/>
          <w:i/>
          <w:iCs/>
          <w:sz w:val="20"/>
          <w:szCs w:val="20"/>
          <w:lang w:val="en-US"/>
        </w:rPr>
        <w:t>I</w:t>
      </w:r>
      <w:r w:rsidR="00CF0C7C">
        <w:rPr>
          <w:rFonts w:cs="Arial"/>
          <w:i/>
          <w:iCs/>
          <w:sz w:val="20"/>
          <w:szCs w:val="20"/>
          <w:lang w:val="en-US"/>
        </w:rPr>
        <w:t xml:space="preserve">nterstate Assessed Languages </w:t>
      </w:r>
      <w:r>
        <w:rPr>
          <w:rFonts w:cs="Arial"/>
          <w:i/>
          <w:iCs/>
          <w:sz w:val="20"/>
          <w:szCs w:val="20"/>
          <w:lang w:val="en-US"/>
        </w:rPr>
        <w:t>Beginners Level Subject O</w:t>
      </w:r>
      <w:r w:rsidRPr="004963F3">
        <w:rPr>
          <w:rFonts w:cs="Arial"/>
          <w:i/>
          <w:iCs/>
          <w:sz w:val="20"/>
          <w:szCs w:val="20"/>
          <w:lang w:val="en-US"/>
        </w:rPr>
        <w:t>utline.</w:t>
      </w:r>
      <w:bookmarkStart w:id="0" w:name="_GoBack"/>
      <w:bookmarkEnd w:id="0"/>
    </w:p>
    <w:sectPr w:rsidR="00573931" w:rsidRPr="000B27F6" w:rsidSect="00837837">
      <w:headerReference w:type="first" r:id="rId11"/>
      <w:footerReference w:type="first" r:id="rId12"/>
      <w:pgSz w:w="16838" w:h="11906" w:orient="landscape" w:code="237"/>
      <w:pgMar w:top="421" w:right="567" w:bottom="567" w:left="567" w:header="284"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8F" w:rsidRDefault="00CD5E8F">
      <w:r>
        <w:separator/>
      </w:r>
    </w:p>
  </w:endnote>
  <w:endnote w:type="continuationSeparator" w:id="0">
    <w:p w:rsidR="00CD5E8F" w:rsidRDefault="00CD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837837">
      <w:rPr>
        <w:noProof/>
      </w:rPr>
      <w:t>1</w:t>
    </w:r>
    <w:r w:rsidRPr="00D732EE">
      <w:fldChar w:fldCharType="end"/>
    </w:r>
    <w:r w:rsidRPr="00D732EE">
      <w:t xml:space="preserve"> of </w:t>
    </w:r>
    <w:fldSimple w:instr=" NUMPAGES  \* MERGEFORMAT ">
      <w:r w:rsidR="00837837">
        <w:rPr>
          <w:noProof/>
        </w:rPr>
        <w:t>2</w:t>
      </w:r>
    </w:fldSimple>
  </w:p>
  <w:p w:rsidR="002A53B7" w:rsidRDefault="002A53B7" w:rsidP="009C1F38">
    <w:pPr>
      <w:pStyle w:val="LAPFooter"/>
      <w:tabs>
        <w:tab w:val="clear" w:pos="9639"/>
        <w:tab w:val="right" w:pos="10206"/>
      </w:tabs>
    </w:pPr>
    <w:r w:rsidRPr="00D128A8">
      <w:fldChar w:fldCharType="begin"/>
    </w:r>
    <w:r w:rsidRPr="00D128A8">
      <w:instrText xml:space="preserve"> PAGE </w:instrText>
    </w:r>
    <w:r w:rsidRPr="00D128A8">
      <w:fldChar w:fldCharType="separate"/>
    </w:r>
    <w:r w:rsidR="0083783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37837">
      <w:rPr>
        <w:noProof/>
      </w:rPr>
      <w:t>2</w:t>
    </w:r>
    <w:r w:rsidRPr="00D128A8">
      <w:fldChar w:fldCharType="end"/>
    </w:r>
    <w:r>
      <w:rPr>
        <w:sz w:val="18"/>
      </w:rPr>
      <w:tab/>
    </w:r>
    <w:r>
      <w:t xml:space="preserve">Stage 1 </w:t>
    </w:r>
    <w:r w:rsidR="00837837">
      <w:t>Italian</w:t>
    </w:r>
    <w:r w:rsidR="009C1F38">
      <w:t xml:space="preserve"> (beginners)</w:t>
    </w:r>
    <w:r>
      <w:t xml:space="preserve"> pre-approved </w:t>
    </w:r>
    <w:r w:rsidR="00837837">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C90D3F">
        <w:t>A597244</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9C1F3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837837">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37837">
      <w:rPr>
        <w:noProof/>
      </w:rPr>
      <w:t>2</w:t>
    </w:r>
    <w:r w:rsidRPr="00D128A8">
      <w:fldChar w:fldCharType="end"/>
    </w:r>
    <w:r>
      <w:rPr>
        <w:sz w:val="18"/>
      </w:rPr>
      <w:tab/>
    </w:r>
    <w:r w:rsidR="00837837">
      <w:t>Stage 1 Italian (beginners)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C90D3F">
        <w:t>A597244</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8F" w:rsidRDefault="00CD5E8F">
      <w:r>
        <w:separator/>
      </w:r>
    </w:p>
  </w:footnote>
  <w:footnote w:type="continuationSeparator" w:id="0">
    <w:p w:rsidR="00CD5E8F" w:rsidRDefault="00CD5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26A5"/>
    <w:rsid w:val="000E3994"/>
    <w:rsid w:val="000E3D80"/>
    <w:rsid w:val="000E6698"/>
    <w:rsid w:val="000E7C92"/>
    <w:rsid w:val="001010FD"/>
    <w:rsid w:val="00107042"/>
    <w:rsid w:val="00114DEA"/>
    <w:rsid w:val="0011729D"/>
    <w:rsid w:val="0012277E"/>
    <w:rsid w:val="001301E1"/>
    <w:rsid w:val="00131DDD"/>
    <w:rsid w:val="00142365"/>
    <w:rsid w:val="001431A4"/>
    <w:rsid w:val="00144732"/>
    <w:rsid w:val="00145B37"/>
    <w:rsid w:val="00153616"/>
    <w:rsid w:val="00164004"/>
    <w:rsid w:val="0016431E"/>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7892"/>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85B"/>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513"/>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37837"/>
    <w:rsid w:val="00843825"/>
    <w:rsid w:val="00852288"/>
    <w:rsid w:val="00857CE2"/>
    <w:rsid w:val="008728C1"/>
    <w:rsid w:val="008A2758"/>
    <w:rsid w:val="008A43B0"/>
    <w:rsid w:val="008A490A"/>
    <w:rsid w:val="008A71E4"/>
    <w:rsid w:val="008A7D12"/>
    <w:rsid w:val="008B0103"/>
    <w:rsid w:val="008B4809"/>
    <w:rsid w:val="008C00A1"/>
    <w:rsid w:val="008C2C70"/>
    <w:rsid w:val="008D1655"/>
    <w:rsid w:val="008D327A"/>
    <w:rsid w:val="008D73E1"/>
    <w:rsid w:val="008E543D"/>
    <w:rsid w:val="008F6CD3"/>
    <w:rsid w:val="009026EC"/>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1F38"/>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67380"/>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772D1"/>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172A"/>
    <w:rsid w:val="00C85B9F"/>
    <w:rsid w:val="00C90D3F"/>
    <w:rsid w:val="00C93EA3"/>
    <w:rsid w:val="00C94E68"/>
    <w:rsid w:val="00C97C4C"/>
    <w:rsid w:val="00CA234C"/>
    <w:rsid w:val="00CB0F63"/>
    <w:rsid w:val="00CC1F8A"/>
    <w:rsid w:val="00CC2DB2"/>
    <w:rsid w:val="00CC346D"/>
    <w:rsid w:val="00CD06DE"/>
    <w:rsid w:val="00CD5E8F"/>
    <w:rsid w:val="00CF0C7C"/>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3F4"/>
    <w:rsid w:val="00E07410"/>
    <w:rsid w:val="00E10778"/>
    <w:rsid w:val="00E11E17"/>
    <w:rsid w:val="00E13855"/>
    <w:rsid w:val="00E23540"/>
    <w:rsid w:val="00E33BD4"/>
    <w:rsid w:val="00E36F01"/>
    <w:rsid w:val="00E4694F"/>
    <w:rsid w:val="00E50015"/>
    <w:rsid w:val="00E64E91"/>
    <w:rsid w:val="00E67295"/>
    <w:rsid w:val="00E7565A"/>
    <w:rsid w:val="00E768B6"/>
    <w:rsid w:val="00E76A6B"/>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 w:val="00FF7F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9B84-A49A-4681-9E5D-91BFCAEC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5</cp:revision>
  <cp:lastPrinted>2015-09-01T21:53:00Z</cp:lastPrinted>
  <dcterms:created xsi:type="dcterms:W3CDTF">2016-12-15T23:05:00Z</dcterms:created>
  <dcterms:modified xsi:type="dcterms:W3CDTF">2017-01-11T02:39:00Z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A597244</vt:lpwstr>
  </property>
  <property fmtid="{D5CDD505-2E9C-101B-9397-08002B2CF9AE}" pid="3" name="Objective-Title">
    <vt:lpwstr>Italian (beginners) LAP 1 2017</vt:lpwstr>
  </property>
  <property fmtid="{D5CDD505-2E9C-101B-9397-08002B2CF9AE}" pid="4" name="Objective-Comment">
    <vt:lpwstr/>
  </property>
  <property fmtid="{D5CDD505-2E9C-101B-9397-08002B2CF9AE}" pid="5" name="Objective-CreationStamp">
    <vt:filetime>2016-12-19T03:46:41Z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2017-01-06T02:19:41Z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