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757BDC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757BDC">
        <w:rPr>
          <w:rFonts w:cs="Arial"/>
          <w:b/>
          <w:bCs/>
          <w:sz w:val="28"/>
          <w:szCs w:val="28"/>
        </w:rPr>
        <w:t>Society and Culture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757BDC" w:rsidP="00BA218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757BDC" w:rsidP="00BA218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757BDC" w:rsidP="00BA218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footerReference w:type="even" r:id="rId9"/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757BDC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757BDC">
        <w:t>Society and Culture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851"/>
        <w:gridCol w:w="850"/>
        <w:gridCol w:w="851"/>
        <w:gridCol w:w="992"/>
        <w:gridCol w:w="3119"/>
      </w:tblGrid>
      <w:tr w:rsidR="00757BDC" w:rsidRPr="004963F3" w:rsidTr="005E1AEA">
        <w:trPr>
          <w:trHeight w:val="345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757BDC" w:rsidRPr="0030789D" w:rsidRDefault="00757BDC" w:rsidP="005E1AE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3544" w:type="dxa"/>
            <w:gridSpan w:val="4"/>
          </w:tcPr>
          <w:p w:rsidR="00757BDC" w:rsidRPr="0030789D" w:rsidRDefault="00757BDC" w:rsidP="005E1AE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57BDC" w:rsidRPr="0030789D" w:rsidRDefault="00757BDC" w:rsidP="005E1AE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757BDC" w:rsidRPr="0030789D" w:rsidRDefault="00757BDC" w:rsidP="005E1AEA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757BDC" w:rsidRPr="004963F3" w:rsidTr="005E1AEA">
        <w:trPr>
          <w:trHeight w:val="345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757BDC" w:rsidRPr="004963F3" w:rsidRDefault="00757BDC" w:rsidP="005E1AE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757BDC" w:rsidRPr="004963F3" w:rsidRDefault="00757BDC" w:rsidP="005E1AE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57BDC" w:rsidRDefault="00757BDC" w:rsidP="005E1AE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BDC" w:rsidRPr="004963F3" w:rsidRDefault="00757BDC" w:rsidP="005E1AE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7BDC" w:rsidRPr="004963F3" w:rsidRDefault="00757BDC" w:rsidP="005E1AE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BDC" w:rsidRPr="004963F3" w:rsidRDefault="00757BDC" w:rsidP="005E1AE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57BDC" w:rsidRPr="004963F3" w:rsidRDefault="00757BDC" w:rsidP="005E1AE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57BDC" w:rsidRPr="004963F3" w:rsidTr="008D592D">
        <w:trPr>
          <w:trHeight w:val="149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Sources Analysis</w:t>
            </w: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</w:pPr>
            <w:r>
              <w:rPr>
                <w:sz w:val="18"/>
                <w:szCs w:val="18"/>
              </w:rPr>
              <w:t>Students, as individuals or in groups of up to three, make observations and refer to visual and/or other data to analyse and evaluate the development and characteristics of local groupings of people in our society – what makes each and every one of them unique and how and why they are so different in so many ways. Students then conclude by individually analysing/assessing which ‘tribe’ they personally belong to and why.</w:t>
            </w:r>
          </w:p>
        </w:tc>
        <w:tc>
          <w:tcPr>
            <w:tcW w:w="851" w:type="dxa"/>
            <w:vAlign w:val="center"/>
          </w:tcPr>
          <w:p w:rsidR="00757BDC" w:rsidRPr="004963F3" w:rsidRDefault="00757BDC" w:rsidP="008D592D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7BDC" w:rsidRPr="004963F3" w:rsidRDefault="00757BDC" w:rsidP="008D592D">
            <w:pPr>
              <w:pStyle w:val="ACLAPTableText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</w:pPr>
            <w:r>
              <w:rPr>
                <w:sz w:val="18"/>
                <w:szCs w:val="18"/>
              </w:rPr>
              <w:t>This assessment is completed in class time. Each student’s analysis/evaluation should be a maximum of 800 words if written or 5 minutes if oral or multimodal, with data made available as evidence.</w:t>
            </w:r>
          </w:p>
        </w:tc>
      </w:tr>
      <w:tr w:rsidR="00757BDC" w:rsidRPr="004963F3" w:rsidTr="008D592D">
        <w:trPr>
          <w:trHeight w:val="1400"/>
        </w:trPr>
        <w:tc>
          <w:tcPr>
            <w:tcW w:w="1809" w:type="dxa"/>
            <w:vMerge/>
            <w:shd w:val="clear" w:color="auto" w:fill="auto"/>
            <w:vAlign w:val="center"/>
          </w:tcPr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</w:pPr>
            <w:r>
              <w:rPr>
                <w:sz w:val="18"/>
                <w:szCs w:val="18"/>
              </w:rPr>
              <w:t>In groups</w:t>
            </w:r>
            <w:r w:rsidRPr="00085E96">
              <w:rPr>
                <w:sz w:val="18"/>
                <w:szCs w:val="18"/>
              </w:rPr>
              <w:t xml:space="preserve">, students select a range of articles relating to </w:t>
            </w:r>
            <w:r>
              <w:rPr>
                <w:sz w:val="18"/>
                <w:szCs w:val="18"/>
              </w:rPr>
              <w:t>a</w:t>
            </w:r>
            <w:r w:rsidRPr="00085E96">
              <w:rPr>
                <w:sz w:val="18"/>
                <w:szCs w:val="18"/>
              </w:rPr>
              <w:t xml:space="preserve"> global</w:t>
            </w:r>
            <w:r>
              <w:rPr>
                <w:sz w:val="18"/>
                <w:szCs w:val="18"/>
              </w:rPr>
              <w:t xml:space="preserve"> confli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ct </w:t>
            </w:r>
            <w:r w:rsidRPr="00085E96">
              <w:rPr>
                <w:sz w:val="18"/>
                <w:szCs w:val="18"/>
              </w:rPr>
              <w:t xml:space="preserve">issue. </w:t>
            </w:r>
            <w:r>
              <w:rPr>
                <w:sz w:val="18"/>
                <w:szCs w:val="18"/>
              </w:rPr>
              <w:t xml:space="preserve">Individuals investigate </w:t>
            </w:r>
            <w:r w:rsidRPr="00085E96">
              <w:rPr>
                <w:sz w:val="18"/>
                <w:szCs w:val="18"/>
              </w:rPr>
              <w:t>how and why social change occurs in relation to the</w:t>
            </w:r>
            <w:r>
              <w:rPr>
                <w:sz w:val="18"/>
                <w:szCs w:val="18"/>
              </w:rPr>
              <w:t xml:space="preserve"> chosen</w:t>
            </w:r>
            <w:r w:rsidRPr="00085E96">
              <w:rPr>
                <w:sz w:val="18"/>
                <w:szCs w:val="18"/>
              </w:rPr>
              <w:t xml:space="preserve"> issue, using evidence from </w:t>
            </w:r>
            <w:r>
              <w:rPr>
                <w:sz w:val="18"/>
                <w:szCs w:val="18"/>
              </w:rPr>
              <w:t xml:space="preserve">primary and secondary </w:t>
            </w:r>
            <w:r w:rsidRPr="00085E96">
              <w:rPr>
                <w:sz w:val="18"/>
                <w:szCs w:val="18"/>
              </w:rPr>
              <w:t>sources to support their view.</w:t>
            </w:r>
            <w:r>
              <w:rPr>
                <w:sz w:val="18"/>
                <w:szCs w:val="18"/>
              </w:rPr>
              <w:t xml:space="preserve"> Each group presents their findings to the class and the individual members of the audience provide an analytical/evaluative response to each presentation.</w:t>
            </w:r>
          </w:p>
        </w:tc>
        <w:tc>
          <w:tcPr>
            <w:tcW w:w="851" w:type="dxa"/>
            <w:vAlign w:val="center"/>
          </w:tcPr>
          <w:p w:rsidR="00757BDC" w:rsidRPr="004963F3" w:rsidRDefault="00757BDC" w:rsidP="008D592D">
            <w:pPr>
              <w:pStyle w:val="ACLAPTableText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7BDC" w:rsidRPr="004963F3" w:rsidRDefault="00757BDC" w:rsidP="008D592D">
            <w:pPr>
              <w:pStyle w:val="ACLAPTableText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BDC" w:rsidRPr="004963F3" w:rsidRDefault="0018262D" w:rsidP="008D592D">
            <w:pPr>
              <w:pStyle w:val="ACLAPTableText"/>
            </w:pPr>
            <w:r>
              <w:rPr>
                <w:sz w:val="18"/>
                <w:szCs w:val="18"/>
              </w:rPr>
              <w:t>M</w:t>
            </w:r>
            <w:r w:rsidR="00AD5D55">
              <w:rPr>
                <w:sz w:val="18"/>
                <w:szCs w:val="18"/>
              </w:rPr>
              <w:t xml:space="preserve">aximum 3-minute oral </w:t>
            </w:r>
            <w:r w:rsidR="00AD5D55" w:rsidRPr="00085E96">
              <w:rPr>
                <w:sz w:val="18"/>
                <w:szCs w:val="18"/>
              </w:rPr>
              <w:t xml:space="preserve">or multimodal presentation </w:t>
            </w:r>
            <w:r w:rsidR="00AD5D55">
              <w:rPr>
                <w:sz w:val="18"/>
                <w:szCs w:val="18"/>
              </w:rPr>
              <w:t>as well as a written analytical response of a maximum 200 words</w:t>
            </w:r>
            <w:r w:rsidR="00AD5D55" w:rsidRPr="00085E96">
              <w:rPr>
                <w:sz w:val="18"/>
                <w:szCs w:val="18"/>
              </w:rPr>
              <w:t>.</w:t>
            </w:r>
          </w:p>
        </w:tc>
      </w:tr>
      <w:tr w:rsidR="00757BDC" w:rsidRPr="004963F3" w:rsidTr="008D592D">
        <w:trPr>
          <w:trHeight w:val="1541"/>
        </w:trPr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Group Activity</w:t>
            </w: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  <w:p w:rsidR="00757BDC" w:rsidRPr="00F40B4F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5D55" w:rsidRDefault="00AD5D55" w:rsidP="008D592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Students work in a group to define and investigate different views on one of the following: Australians as global citizens;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sz w:val="18"/>
                    <w:szCs w:val="18"/>
                  </w:rPr>
                  <w:t>Australia</w:t>
                </w:r>
              </w:smartTag>
            </w:smartTag>
            <w:r>
              <w:rPr>
                <w:rFonts w:cs="Arial"/>
                <w:sz w:val="18"/>
                <w:szCs w:val="18"/>
              </w:rPr>
              <w:t>’s global connections; or World-shaping phenomena.</w:t>
            </w:r>
          </w:p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sz w:val="18"/>
                <w:szCs w:val="18"/>
              </w:rPr>
              <w:t>Students demonstrate evidence of their shared learning, and their reflection on the learning process, with others in a round-table discussion that enables each member of the group to demonstrate his or her contribution.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BDC" w:rsidRPr="004963F3" w:rsidRDefault="00757BDC" w:rsidP="008D592D">
            <w:pPr>
              <w:pStyle w:val="ACLAPTableText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</w:pPr>
            <w:r>
              <w:rPr>
                <w:sz w:val="18"/>
                <w:szCs w:val="18"/>
              </w:rPr>
              <w:t>Group presentation may take the form of a newspaper article, poster campaign, speech, or multi-media presentation (maximum of 750 words for a written, or a maximum of 5 minutes for an oral or multimodal presentation).</w:t>
            </w:r>
          </w:p>
        </w:tc>
      </w:tr>
      <w:tr w:rsidR="00757BDC" w:rsidRPr="004963F3" w:rsidTr="008D592D">
        <w:trPr>
          <w:trHeight w:val="1683"/>
        </w:trPr>
        <w:tc>
          <w:tcPr>
            <w:tcW w:w="1809" w:type="dxa"/>
            <w:shd w:val="clear" w:color="auto" w:fill="auto"/>
            <w:vAlign w:val="center"/>
          </w:tcPr>
          <w:p w:rsidR="00757BDC" w:rsidRDefault="00757BDC" w:rsidP="005E1AEA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3: Investigation</w:t>
            </w:r>
          </w:p>
          <w:p w:rsidR="00757BDC" w:rsidRDefault="00757BDC" w:rsidP="005E1AEA">
            <w:pPr>
              <w:rPr>
                <w:lang w:val="en-US"/>
              </w:rPr>
            </w:pPr>
          </w:p>
          <w:p w:rsidR="00757BDC" w:rsidRPr="00EB0FD5" w:rsidRDefault="00757BDC" w:rsidP="005E1A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FD5">
              <w:rPr>
                <w:b/>
                <w:bCs/>
                <w:sz w:val="20"/>
                <w:szCs w:val="20"/>
                <w:lang w:val="en-US"/>
              </w:rPr>
              <w:t>Weighting %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D5D55" w:rsidRDefault="00AD5D55" w:rsidP="008D592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Students investigate their choice of a contemporary social or cultural issue of personal interest which has an Australian focus. They identify and refine guiding questions, and choose, organise and analyse a range of primary and secondary sources in relation to the chosen issue.</w:t>
            </w:r>
          </w:p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sz w:val="18"/>
                <w:szCs w:val="18"/>
              </w:rPr>
              <w:t>Students consider how and why social change has affected, or could affect, the issue by taking into account historical, cultural, economic, environmental or other perspectives.</w:t>
            </w:r>
          </w:p>
        </w:tc>
        <w:tc>
          <w:tcPr>
            <w:tcW w:w="851" w:type="dxa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7BDC" w:rsidRPr="004963F3" w:rsidRDefault="00757BDC" w:rsidP="008D592D">
            <w:pPr>
              <w:pStyle w:val="ACLAPTableText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BDC" w:rsidRPr="004963F3" w:rsidRDefault="00AD5D55" w:rsidP="008D592D">
            <w:pPr>
              <w:pStyle w:val="ACLAPTableTex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Maximum of 1000 words for a written presentation and maximum 6 minutes for an oral or multimodal presentation. Several lessons of class time are made available for the investigation.</w:t>
            </w:r>
          </w:p>
        </w:tc>
      </w:tr>
    </w:tbl>
    <w:p w:rsidR="00D732EE" w:rsidRPr="00493F70" w:rsidRDefault="008D592D" w:rsidP="008D592D">
      <w:pPr>
        <w:autoSpaceDE w:val="0"/>
        <w:autoSpaceDN w:val="0"/>
        <w:adjustRightInd w:val="0"/>
        <w:ind w:right="412"/>
        <w:rPr>
          <w:rFonts w:cs="Arial"/>
        </w:rPr>
      </w:pPr>
      <w:r>
        <w:br/>
      </w:r>
      <w:r w:rsidR="00757BDC">
        <w:rPr>
          <w:rFonts w:cs="Arial"/>
          <w:b/>
          <w:bCs/>
          <w:i/>
          <w:iCs/>
          <w:sz w:val="20"/>
          <w:szCs w:val="20"/>
          <w:lang w:val="en-US"/>
        </w:rPr>
        <w:t xml:space="preserve">Three or four assessments. </w:t>
      </w:r>
      <w:r w:rsidR="00757BDC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757BDC">
        <w:rPr>
          <w:rFonts w:cs="Arial"/>
          <w:i/>
          <w:iCs/>
          <w:sz w:val="20"/>
          <w:szCs w:val="20"/>
          <w:lang w:val="en-US"/>
        </w:rPr>
        <w:t xml:space="preserve"> Society and Culture subject o</w:t>
      </w:r>
      <w:r w:rsidR="00757BDC" w:rsidRPr="004963F3">
        <w:rPr>
          <w:rFonts w:cs="Arial"/>
          <w:i/>
          <w:iCs/>
          <w:sz w:val="20"/>
          <w:szCs w:val="20"/>
          <w:lang w:val="en-US"/>
        </w:rPr>
        <w:t>utline.</w:t>
      </w:r>
      <w:r w:rsidR="00AD5D55" w:rsidRPr="00AD5D55">
        <w:rPr>
          <w:rFonts w:cs="Arial"/>
          <w:i/>
          <w:sz w:val="20"/>
          <w:szCs w:val="20"/>
          <w:lang w:eastAsia="en-AU"/>
        </w:rPr>
        <w:t xml:space="preserve"> </w:t>
      </w:r>
      <w:r w:rsidR="00AD5D55" w:rsidRPr="00B65C33">
        <w:rPr>
          <w:rFonts w:cs="Arial"/>
          <w:i/>
          <w:sz w:val="20"/>
          <w:szCs w:val="20"/>
          <w:lang w:eastAsia="en-AU"/>
        </w:rPr>
        <w:t xml:space="preserve">Exemplified with the kind permission of Dr. Adrian K Hitch, Modbury High </w:t>
      </w:r>
      <w:r>
        <w:rPr>
          <w:rFonts w:cs="Arial"/>
          <w:i/>
          <w:sz w:val="20"/>
          <w:szCs w:val="20"/>
          <w:lang w:eastAsia="en-AU"/>
        </w:rPr>
        <w:t>School</w:t>
      </w:r>
    </w:p>
    <w:sectPr w:rsidR="00D732EE" w:rsidRPr="00493F70" w:rsidSect="00EB186C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2F" w:rsidRDefault="0020102F">
      <w:r>
        <w:separator/>
      </w:r>
    </w:p>
  </w:endnote>
  <w:endnote w:type="continuationSeparator" w:id="0">
    <w:p w:rsidR="0020102F" w:rsidRDefault="0020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2D" w:rsidRDefault="008D592D" w:rsidP="008D592D">
    <w:pPr>
      <w:pStyle w:val="LAPFooter"/>
      <w:tabs>
        <w:tab w:val="clear" w:pos="9639"/>
        <w:tab w:val="clear" w:pos="14742"/>
        <w:tab w:val="right" w:pos="14884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Society and Culture pre-approved LAP – 01  (for use from 2017)</w:t>
    </w:r>
  </w:p>
  <w:p w:rsidR="008D592D" w:rsidRPr="00AD3BD3" w:rsidRDefault="008D592D" w:rsidP="008D592D">
    <w:pPr>
      <w:pStyle w:val="LAPFooter"/>
      <w:tabs>
        <w:tab w:val="clear" w:pos="9639"/>
        <w:tab w:val="clear" w:pos="14742"/>
        <w:tab w:val="right" w:pos="14884"/>
      </w:tabs>
    </w:pPr>
    <w:r w:rsidRPr="00AD3BD3">
      <w:tab/>
      <w:t xml:space="preserve">Ref: </w:t>
    </w:r>
    <w:r>
      <w:t>A599734</w:t>
    </w:r>
    <w:r w:rsidRPr="00AD3BD3">
      <w:t xml:space="preserve"> </w:t>
    </w:r>
    <w:r>
      <w:t xml:space="preserve"> </w:t>
    </w:r>
    <w:r w:rsidRPr="00AD3BD3">
      <w:t>(</w:t>
    </w:r>
    <w:r>
      <w:t>created January 2017)</w:t>
    </w:r>
  </w:p>
  <w:p w:rsidR="008D592D" w:rsidRPr="001E7C19" w:rsidRDefault="008D592D" w:rsidP="008D592D">
    <w:pPr>
      <w:pStyle w:val="LAPFooter"/>
      <w:tabs>
        <w:tab w:val="clear" w:pos="9639"/>
        <w:tab w:val="clear" w:pos="14742"/>
        <w:tab w:val="right" w:pos="14884"/>
      </w:tabs>
    </w:pPr>
    <w:r w:rsidRPr="00AD3BD3">
      <w:tab/>
      <w:t>© SACE Board of South</w:t>
    </w:r>
    <w:r>
      <w:t xml:space="preserve"> Australia 2015</w:t>
    </w:r>
  </w:p>
  <w:p w:rsidR="008D592D" w:rsidRDefault="008D5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4B4901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4B4901">
        <w:rPr>
          <w:noProof/>
        </w:rPr>
        <w:t>2</w:t>
      </w:r>
    </w:fldSimple>
  </w:p>
  <w:p w:rsidR="002A53B7" w:rsidRDefault="002A53B7" w:rsidP="00757BDC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B4901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B4901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57BDC">
      <w:t>Society and Culture</w:t>
    </w:r>
    <w:r>
      <w:t xml:space="preserve"> pre-approved </w:t>
    </w:r>
    <w:r w:rsidR="008D592D">
      <w:t xml:space="preserve">LAP – 01 </w:t>
    </w:r>
    <w:r w:rsidR="00E021FF">
      <w:t xml:space="preserve"> (for use from 2017</w:t>
    </w:r>
    <w:r>
      <w:t>)</w:t>
    </w:r>
  </w:p>
  <w:p w:rsidR="002A53B7" w:rsidRPr="00AD3BD3" w:rsidRDefault="002A53B7" w:rsidP="00757BDC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8D592D">
      <w:t>A599734</w:t>
    </w:r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757BDC">
      <w:t>January 2017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2D" w:rsidRDefault="00BA2185" w:rsidP="008D592D">
    <w:pPr>
      <w:pStyle w:val="LAPFooter"/>
      <w:tabs>
        <w:tab w:val="clear" w:pos="9639"/>
        <w:tab w:val="clear" w:pos="14742"/>
        <w:tab w:val="right" w:pos="1502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B4901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B4901">
      <w:rPr>
        <w:noProof/>
      </w:rPr>
      <w:t>2</w:t>
    </w:r>
    <w:r w:rsidRPr="00D128A8">
      <w:fldChar w:fldCharType="end"/>
    </w:r>
    <w:r>
      <w:rPr>
        <w:sz w:val="18"/>
      </w:rPr>
      <w:tab/>
    </w:r>
    <w:r w:rsidR="008D592D">
      <w:t>Stage 1 Society and Culture pre-approved LAP – 01  (for use from 2017)</w:t>
    </w:r>
  </w:p>
  <w:p w:rsidR="008D592D" w:rsidRPr="00AD3BD3" w:rsidRDefault="008D592D" w:rsidP="008D592D">
    <w:pPr>
      <w:pStyle w:val="LAPFooter"/>
      <w:tabs>
        <w:tab w:val="clear" w:pos="9639"/>
        <w:tab w:val="clear" w:pos="14742"/>
        <w:tab w:val="right" w:pos="15026"/>
      </w:tabs>
    </w:pPr>
    <w:r w:rsidRPr="00AD3BD3">
      <w:tab/>
      <w:t xml:space="preserve">Ref: </w:t>
    </w:r>
    <w:r>
      <w:t>A599734</w:t>
    </w:r>
    <w:r w:rsidRPr="00AD3BD3">
      <w:t xml:space="preserve"> </w:t>
    </w:r>
    <w:r>
      <w:t xml:space="preserve"> </w:t>
    </w:r>
    <w:r w:rsidRPr="00AD3BD3">
      <w:t>(</w:t>
    </w:r>
    <w:r>
      <w:t>created January 2017)</w:t>
    </w:r>
  </w:p>
  <w:p w:rsidR="008D592D" w:rsidRPr="001E7C19" w:rsidRDefault="008D592D" w:rsidP="008D592D">
    <w:pPr>
      <w:pStyle w:val="LAPFooter"/>
      <w:tabs>
        <w:tab w:val="clear" w:pos="9639"/>
        <w:tab w:val="clear" w:pos="14742"/>
        <w:tab w:val="right" w:pos="15026"/>
      </w:tabs>
    </w:pPr>
    <w:r w:rsidRPr="00AD3BD3">
      <w:tab/>
      <w:t>© SACE Board of South</w:t>
    </w:r>
    <w:r>
      <w:t xml:space="preserve"> Australia 2015</w:t>
    </w:r>
  </w:p>
  <w:p w:rsidR="00BA2185" w:rsidRPr="002166A4" w:rsidRDefault="00BA2185" w:rsidP="008D592D">
    <w:pPr>
      <w:pStyle w:val="LAPFooter"/>
      <w:tabs>
        <w:tab w:val="clear" w:pos="9639"/>
        <w:tab w:val="clear" w:pos="14742"/>
        <w:tab w:val="right" w:pos="154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2F" w:rsidRDefault="0020102F">
      <w:r>
        <w:separator/>
      </w:r>
    </w:p>
  </w:footnote>
  <w:footnote w:type="continuationSeparator" w:id="0">
    <w:p w:rsidR="0020102F" w:rsidRDefault="0020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1C1439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262D"/>
    <w:rsid w:val="00184222"/>
    <w:rsid w:val="00190550"/>
    <w:rsid w:val="00195415"/>
    <w:rsid w:val="001A4E06"/>
    <w:rsid w:val="001C1439"/>
    <w:rsid w:val="001C556F"/>
    <w:rsid w:val="001D7C86"/>
    <w:rsid w:val="001E0A92"/>
    <w:rsid w:val="001F5EE5"/>
    <w:rsid w:val="0020102F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A265C"/>
    <w:rsid w:val="004A4FF7"/>
    <w:rsid w:val="004B4901"/>
    <w:rsid w:val="004C0B24"/>
    <w:rsid w:val="004C3EBC"/>
    <w:rsid w:val="004C6ABF"/>
    <w:rsid w:val="004D254A"/>
    <w:rsid w:val="004D4BEC"/>
    <w:rsid w:val="004E18D1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E1AEA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30C1A"/>
    <w:rsid w:val="007471E7"/>
    <w:rsid w:val="0074792E"/>
    <w:rsid w:val="0075733C"/>
    <w:rsid w:val="00757BDC"/>
    <w:rsid w:val="00760088"/>
    <w:rsid w:val="00763AFB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28D7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592D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6CA6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73078"/>
    <w:rsid w:val="00A840FD"/>
    <w:rsid w:val="00A86047"/>
    <w:rsid w:val="00A87E4B"/>
    <w:rsid w:val="00A91D33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D55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8AB4-137E-4B07-812F-8F97C846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2</cp:revision>
  <cp:lastPrinted>2015-09-01T21:53:00Z</cp:lastPrinted>
  <dcterms:created xsi:type="dcterms:W3CDTF">2017-01-09T03:56:00Z</dcterms:created>
  <dcterms:modified xsi:type="dcterms:W3CDTF">2017-01-09T03:56:00Z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A599734</vt:lpwstr>
  </property>
  <property fmtid="{D5CDD505-2E9C-101B-9397-08002B2CF9AE}" pid="3" name="Objective-Title">
    <vt:lpwstr>Society and Culture - 01 2017</vt:lpwstr>
  </property>
  <property fmtid="{D5CDD505-2E9C-101B-9397-08002B2CF9AE}" pid="4" name="Objective-Comment">
    <vt:lpwstr/>
  </property>
  <property fmtid="{D5CDD505-2E9C-101B-9397-08002B2CF9AE}" pid="5" name="Objective-CreationStamp">
    <vt:filetime>2016-12-22T22:53:25Z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2017-01-09T03:52:38Z</vt:filetime>
  </property>
  <property fmtid="{D5CDD505-2E9C-101B-9397-08002B2CF9AE}" pid="10" name="Objective-Owner">
    <vt:lpwstr>Michael Randall</vt:lpwstr>
  </property>
  <property fmtid="{D5CDD505-2E9C-101B-9397-08002B2CF9AE}" pid="11" name="Objective-Path">
    <vt:lpwstr>Objective Global Folder:SACE Support Materials:SACE Support Materials Stage 1:Humanities and Social Sciences:Society and Culture:LAPs:LAPs for January 2017 upload:</vt:lpwstr>
  </property>
  <property fmtid="{D5CDD505-2E9C-101B-9397-08002B2CF9AE}" pid="12" name="Objective-Parent">
    <vt:lpwstr>LAPs for January 2017 upload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2.2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qA6687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