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7528F7">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7528F7">
        <w:rPr>
          <w:rFonts w:cs="Arial"/>
          <w:b/>
          <w:bCs/>
          <w:sz w:val="28"/>
          <w:szCs w:val="28"/>
        </w:rPr>
        <w:t>Creative Arts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7528F7" w:rsidP="00BA2185">
            <w:pPr>
              <w:jc w:val="center"/>
              <w:rPr>
                <w:b/>
              </w:rPr>
            </w:pPr>
            <w:r>
              <w:rPr>
                <w:b/>
              </w:rPr>
              <w:t>C</w:t>
            </w:r>
          </w:p>
        </w:tc>
        <w:tc>
          <w:tcPr>
            <w:tcW w:w="500" w:type="dxa"/>
            <w:shd w:val="clear" w:color="auto" w:fill="auto"/>
            <w:vAlign w:val="center"/>
          </w:tcPr>
          <w:p w:rsidR="006A2B3D" w:rsidRPr="00F66744" w:rsidRDefault="007528F7" w:rsidP="00BA2185">
            <w:pPr>
              <w:jc w:val="center"/>
              <w:rPr>
                <w:b/>
              </w:rPr>
            </w:pPr>
            <w:r>
              <w:rPr>
                <w:b/>
              </w:rPr>
              <w:t>V</w:t>
            </w:r>
          </w:p>
        </w:tc>
        <w:tc>
          <w:tcPr>
            <w:tcW w:w="500" w:type="dxa"/>
            <w:shd w:val="clear" w:color="auto" w:fill="auto"/>
            <w:vAlign w:val="center"/>
          </w:tcPr>
          <w:p w:rsidR="006A2B3D" w:rsidRPr="003B2B0E" w:rsidRDefault="007528F7" w:rsidP="00BA2185">
            <w:pPr>
              <w:jc w:val="center"/>
              <w:rPr>
                <w:b/>
              </w:rPr>
            </w:pPr>
            <w:r>
              <w:rPr>
                <w:b/>
              </w:rPr>
              <w:t>A</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49586F">
          <w:headerReference w:type="first" r:id="rId9"/>
          <w:footerReference w:type="first" r:id="rId10"/>
          <w:pgSz w:w="11906" w:h="16838" w:code="237"/>
          <w:pgMar w:top="1134" w:right="1134" w:bottom="1134" w:left="1134" w:header="397" w:footer="365" w:gutter="0"/>
          <w:cols w:space="708"/>
          <w:formProt w:val="0"/>
          <w:titlePg/>
          <w:docGrid w:linePitch="360"/>
        </w:sectPr>
      </w:pPr>
    </w:p>
    <w:p w:rsidR="002A53B7" w:rsidRPr="004963F3" w:rsidRDefault="002A53B7" w:rsidP="007528F7">
      <w:pPr>
        <w:pStyle w:val="LAPHeading"/>
      </w:pPr>
      <w:r w:rsidRPr="004963F3">
        <w:lastRenderedPageBreak/>
        <w:t xml:space="preserve">Stage </w:t>
      </w:r>
      <w:r>
        <w:t xml:space="preserve">1 </w:t>
      </w:r>
      <w:r w:rsidR="007528F7">
        <w:t>Creative Arts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6792"/>
        <w:gridCol w:w="992"/>
        <w:gridCol w:w="993"/>
        <w:gridCol w:w="850"/>
        <w:gridCol w:w="992"/>
        <w:gridCol w:w="3402"/>
      </w:tblGrid>
      <w:tr w:rsidR="007528F7" w:rsidRPr="004963F3" w:rsidTr="0010089A">
        <w:trPr>
          <w:trHeight w:val="345"/>
          <w:tblHeader/>
        </w:trPr>
        <w:tc>
          <w:tcPr>
            <w:tcW w:w="1396" w:type="dxa"/>
            <w:vMerge w:val="restart"/>
            <w:shd w:val="clear" w:color="auto" w:fill="auto"/>
            <w:vAlign w:val="center"/>
          </w:tcPr>
          <w:p w:rsidR="007528F7" w:rsidRPr="00F40B4F" w:rsidRDefault="007528F7" w:rsidP="0010089A">
            <w:pPr>
              <w:pStyle w:val="LAPTableText"/>
              <w:jc w:val="center"/>
              <w:rPr>
                <w:b/>
                <w:lang w:val="en-US"/>
              </w:rPr>
            </w:pPr>
            <w:r w:rsidRPr="00F40B4F">
              <w:rPr>
                <w:b/>
                <w:lang w:val="en-US"/>
              </w:rPr>
              <w:t>Assessment Type and Weighting</w:t>
            </w:r>
          </w:p>
        </w:tc>
        <w:tc>
          <w:tcPr>
            <w:tcW w:w="6792" w:type="dxa"/>
            <w:vMerge w:val="restart"/>
            <w:shd w:val="clear" w:color="auto" w:fill="auto"/>
            <w:vAlign w:val="center"/>
          </w:tcPr>
          <w:p w:rsidR="007528F7" w:rsidRPr="0030789D" w:rsidRDefault="007528F7" w:rsidP="0010089A">
            <w:pPr>
              <w:pStyle w:val="ACLAPTableText"/>
              <w:jc w:val="center"/>
              <w:rPr>
                <w:b/>
              </w:rPr>
            </w:pPr>
            <w:r w:rsidRPr="0030789D">
              <w:rPr>
                <w:b/>
              </w:rPr>
              <w:t>Details of assessment</w:t>
            </w:r>
          </w:p>
        </w:tc>
        <w:tc>
          <w:tcPr>
            <w:tcW w:w="3827" w:type="dxa"/>
            <w:gridSpan w:val="4"/>
          </w:tcPr>
          <w:p w:rsidR="007528F7" w:rsidRPr="0030789D" w:rsidRDefault="007528F7" w:rsidP="0010089A">
            <w:pPr>
              <w:pStyle w:val="ACLAPTableText"/>
              <w:jc w:val="center"/>
              <w:rPr>
                <w:b/>
              </w:rPr>
            </w:pPr>
            <w:r w:rsidRPr="0030789D">
              <w:rPr>
                <w:b/>
              </w:rPr>
              <w:t>Assessment Design Criteria</w:t>
            </w:r>
          </w:p>
        </w:tc>
        <w:tc>
          <w:tcPr>
            <w:tcW w:w="3402" w:type="dxa"/>
            <w:vMerge w:val="restart"/>
            <w:shd w:val="clear" w:color="auto" w:fill="auto"/>
            <w:vAlign w:val="center"/>
          </w:tcPr>
          <w:p w:rsidR="007528F7" w:rsidRPr="0030789D" w:rsidRDefault="007528F7" w:rsidP="0010089A">
            <w:pPr>
              <w:pStyle w:val="ACLAPTableText"/>
              <w:jc w:val="center"/>
              <w:rPr>
                <w:b/>
              </w:rPr>
            </w:pPr>
            <w:r w:rsidRPr="0030789D">
              <w:rPr>
                <w:b/>
              </w:rPr>
              <w:t>Assessment conditions</w:t>
            </w:r>
          </w:p>
          <w:p w:rsidR="007528F7" w:rsidRPr="0030789D" w:rsidRDefault="007528F7" w:rsidP="0010089A">
            <w:pPr>
              <w:pStyle w:val="ACLAPTableText"/>
              <w:jc w:val="center"/>
            </w:pPr>
            <w:r w:rsidRPr="0030789D">
              <w:t>(e.g. task type, word length, time allocated, supervision)</w:t>
            </w:r>
          </w:p>
        </w:tc>
      </w:tr>
      <w:tr w:rsidR="007528F7" w:rsidRPr="004963F3" w:rsidTr="007528F7">
        <w:trPr>
          <w:trHeight w:val="345"/>
          <w:tblHeader/>
        </w:trPr>
        <w:tc>
          <w:tcPr>
            <w:tcW w:w="1396" w:type="dxa"/>
            <w:vMerge/>
            <w:shd w:val="clear" w:color="auto" w:fill="auto"/>
            <w:vAlign w:val="center"/>
          </w:tcPr>
          <w:p w:rsidR="007528F7" w:rsidRPr="004963F3" w:rsidRDefault="007528F7" w:rsidP="0010089A">
            <w:pPr>
              <w:jc w:val="center"/>
              <w:rPr>
                <w:rFonts w:cs="Arial"/>
                <w:b/>
                <w:bCs/>
                <w:sz w:val="20"/>
                <w:szCs w:val="20"/>
                <w:lang w:val="en-US"/>
              </w:rPr>
            </w:pPr>
          </w:p>
        </w:tc>
        <w:tc>
          <w:tcPr>
            <w:tcW w:w="6792" w:type="dxa"/>
            <w:vMerge/>
            <w:shd w:val="clear" w:color="auto" w:fill="auto"/>
            <w:vAlign w:val="center"/>
          </w:tcPr>
          <w:p w:rsidR="007528F7" w:rsidRPr="004963F3" w:rsidRDefault="007528F7" w:rsidP="0010089A">
            <w:pPr>
              <w:jc w:val="center"/>
              <w:rPr>
                <w:rFonts w:cs="Arial"/>
                <w:b/>
                <w:bCs/>
                <w:sz w:val="20"/>
                <w:szCs w:val="20"/>
                <w:lang w:val="en-US"/>
              </w:rPr>
            </w:pPr>
          </w:p>
        </w:tc>
        <w:tc>
          <w:tcPr>
            <w:tcW w:w="992" w:type="dxa"/>
            <w:shd w:val="clear" w:color="auto" w:fill="auto"/>
            <w:vAlign w:val="center"/>
          </w:tcPr>
          <w:p w:rsidR="007528F7" w:rsidRPr="004963F3" w:rsidRDefault="007528F7" w:rsidP="0010089A">
            <w:pPr>
              <w:jc w:val="center"/>
              <w:rPr>
                <w:rFonts w:cs="Arial"/>
                <w:b/>
                <w:bCs/>
                <w:sz w:val="20"/>
                <w:szCs w:val="20"/>
                <w:lang w:val="en-US"/>
              </w:rPr>
            </w:pPr>
            <w:r>
              <w:rPr>
                <w:rFonts w:cs="Arial"/>
                <w:b/>
                <w:bCs/>
                <w:sz w:val="20"/>
                <w:szCs w:val="20"/>
                <w:lang w:val="en-US"/>
              </w:rPr>
              <w:t>KU</w:t>
            </w:r>
          </w:p>
        </w:tc>
        <w:tc>
          <w:tcPr>
            <w:tcW w:w="993" w:type="dxa"/>
            <w:shd w:val="clear" w:color="auto" w:fill="auto"/>
            <w:vAlign w:val="center"/>
          </w:tcPr>
          <w:p w:rsidR="007528F7" w:rsidRPr="004963F3" w:rsidRDefault="007528F7" w:rsidP="0010089A">
            <w:pPr>
              <w:jc w:val="center"/>
              <w:rPr>
                <w:rFonts w:cs="Arial"/>
                <w:b/>
                <w:bCs/>
                <w:sz w:val="20"/>
                <w:szCs w:val="20"/>
                <w:lang w:val="en-US"/>
              </w:rPr>
            </w:pPr>
            <w:r>
              <w:rPr>
                <w:rFonts w:cs="Arial"/>
                <w:b/>
                <w:bCs/>
                <w:sz w:val="20"/>
                <w:szCs w:val="20"/>
                <w:lang w:val="en-US"/>
              </w:rPr>
              <w:t>PA</w:t>
            </w:r>
          </w:p>
        </w:tc>
        <w:tc>
          <w:tcPr>
            <w:tcW w:w="850" w:type="dxa"/>
            <w:vAlign w:val="center"/>
          </w:tcPr>
          <w:p w:rsidR="007528F7" w:rsidRDefault="007528F7" w:rsidP="0010089A">
            <w:pPr>
              <w:jc w:val="center"/>
              <w:rPr>
                <w:rFonts w:cs="Arial"/>
                <w:b/>
                <w:bCs/>
                <w:sz w:val="20"/>
                <w:szCs w:val="20"/>
                <w:lang w:val="en-US"/>
              </w:rPr>
            </w:pPr>
            <w:r>
              <w:rPr>
                <w:rFonts w:cs="Arial"/>
                <w:b/>
                <w:bCs/>
                <w:sz w:val="20"/>
                <w:szCs w:val="20"/>
                <w:lang w:val="en-US"/>
              </w:rPr>
              <w:t>II</w:t>
            </w:r>
          </w:p>
        </w:tc>
        <w:tc>
          <w:tcPr>
            <w:tcW w:w="992" w:type="dxa"/>
            <w:shd w:val="clear" w:color="auto" w:fill="auto"/>
            <w:vAlign w:val="center"/>
          </w:tcPr>
          <w:p w:rsidR="007528F7" w:rsidRPr="004963F3" w:rsidRDefault="007528F7" w:rsidP="0010089A">
            <w:pPr>
              <w:jc w:val="center"/>
              <w:rPr>
                <w:rFonts w:cs="Arial"/>
                <w:b/>
                <w:bCs/>
                <w:sz w:val="20"/>
                <w:szCs w:val="20"/>
                <w:lang w:val="en-US"/>
              </w:rPr>
            </w:pPr>
            <w:r>
              <w:rPr>
                <w:rFonts w:cs="Arial"/>
                <w:b/>
                <w:bCs/>
                <w:sz w:val="20"/>
                <w:szCs w:val="20"/>
                <w:lang w:val="en-US"/>
              </w:rPr>
              <w:t>R</w:t>
            </w:r>
          </w:p>
        </w:tc>
        <w:tc>
          <w:tcPr>
            <w:tcW w:w="3402" w:type="dxa"/>
            <w:vMerge/>
            <w:shd w:val="clear" w:color="auto" w:fill="auto"/>
            <w:vAlign w:val="center"/>
          </w:tcPr>
          <w:p w:rsidR="007528F7" w:rsidRPr="004963F3" w:rsidRDefault="007528F7" w:rsidP="0010089A">
            <w:pPr>
              <w:rPr>
                <w:rFonts w:cs="Arial"/>
                <w:sz w:val="20"/>
                <w:szCs w:val="20"/>
                <w:lang w:val="en-US"/>
              </w:rPr>
            </w:pPr>
          </w:p>
        </w:tc>
      </w:tr>
      <w:tr w:rsidR="007528F7" w:rsidRPr="004963F3" w:rsidTr="0049586F">
        <w:trPr>
          <w:trHeight w:val="2753"/>
        </w:trPr>
        <w:tc>
          <w:tcPr>
            <w:tcW w:w="1396" w:type="dxa"/>
            <w:tcBorders>
              <w:bottom w:val="single" w:sz="4" w:space="0" w:color="auto"/>
            </w:tcBorders>
            <w:shd w:val="clear" w:color="auto" w:fill="auto"/>
            <w:vAlign w:val="center"/>
          </w:tcPr>
          <w:p w:rsidR="007528F7" w:rsidRPr="00F40B4F" w:rsidRDefault="007528F7" w:rsidP="0049586F">
            <w:pPr>
              <w:pStyle w:val="LAPTableText"/>
              <w:jc w:val="center"/>
              <w:rPr>
                <w:b/>
                <w:lang w:val="en-US"/>
              </w:rPr>
            </w:pPr>
            <w:r>
              <w:rPr>
                <w:b/>
                <w:lang w:val="en-US"/>
              </w:rPr>
              <w:t>Assessment Type 1: Product</w:t>
            </w:r>
          </w:p>
          <w:p w:rsidR="007528F7" w:rsidRPr="00F40B4F" w:rsidRDefault="007528F7" w:rsidP="0010089A">
            <w:pPr>
              <w:pStyle w:val="LAPTableText"/>
              <w:jc w:val="center"/>
              <w:rPr>
                <w:b/>
                <w:lang w:val="en-US"/>
              </w:rPr>
            </w:pPr>
          </w:p>
          <w:p w:rsidR="00FD5B63" w:rsidRDefault="007528F7" w:rsidP="0010089A">
            <w:pPr>
              <w:pStyle w:val="LAPTableText"/>
              <w:jc w:val="center"/>
              <w:rPr>
                <w:b/>
                <w:lang w:val="en-US"/>
              </w:rPr>
            </w:pPr>
            <w:r w:rsidRPr="00F40B4F">
              <w:rPr>
                <w:b/>
                <w:lang w:val="en-US"/>
              </w:rPr>
              <w:t>Weighting</w:t>
            </w:r>
            <w:r w:rsidR="003440C3">
              <w:rPr>
                <w:b/>
                <w:lang w:val="en-US"/>
              </w:rPr>
              <w:t xml:space="preserve"> </w:t>
            </w:r>
            <w:r w:rsidRPr="00F40B4F">
              <w:rPr>
                <w:b/>
                <w:lang w:val="en-US"/>
              </w:rPr>
              <w:t xml:space="preserve"> </w:t>
            </w:r>
          </w:p>
          <w:p w:rsidR="007528F7" w:rsidRPr="00F40B4F" w:rsidRDefault="00FD5B63" w:rsidP="0010089A">
            <w:pPr>
              <w:pStyle w:val="LAPTableText"/>
              <w:jc w:val="center"/>
              <w:rPr>
                <w:b/>
                <w:lang w:val="en-US"/>
              </w:rPr>
            </w:pPr>
            <w:r>
              <w:rPr>
                <w:b/>
                <w:lang w:val="en-US"/>
              </w:rPr>
              <w:t xml:space="preserve">50 </w:t>
            </w:r>
            <w:r w:rsidR="007528F7" w:rsidRPr="00F40B4F">
              <w:rPr>
                <w:b/>
                <w:sz w:val="24"/>
                <w:szCs w:val="24"/>
                <w:lang w:val="en-US"/>
              </w:rPr>
              <w:t>%</w:t>
            </w:r>
          </w:p>
        </w:tc>
        <w:tc>
          <w:tcPr>
            <w:tcW w:w="6792" w:type="dxa"/>
            <w:tcBorders>
              <w:bottom w:val="single" w:sz="4" w:space="0" w:color="auto"/>
            </w:tcBorders>
            <w:shd w:val="clear" w:color="auto" w:fill="auto"/>
            <w:vAlign w:val="center"/>
          </w:tcPr>
          <w:p w:rsidR="003440C3" w:rsidRPr="0049586F" w:rsidRDefault="003440C3" w:rsidP="0049586F">
            <w:pPr>
              <w:pStyle w:val="body"/>
              <w:tabs>
                <w:tab w:val="left" w:leader="underscore" w:pos="9900"/>
              </w:tabs>
              <w:spacing w:before="100"/>
              <w:rPr>
                <w:rFonts w:ascii="Arial" w:hAnsi="Arial" w:cs="Arial"/>
                <w:b/>
                <w:sz w:val="18"/>
                <w:szCs w:val="18"/>
              </w:rPr>
            </w:pPr>
            <w:r w:rsidRPr="0049586F">
              <w:rPr>
                <w:rFonts w:ascii="Arial" w:hAnsi="Arial" w:cs="Arial"/>
                <w:b/>
                <w:sz w:val="18"/>
                <w:szCs w:val="18"/>
              </w:rPr>
              <w:t>Creative Arts Product</w:t>
            </w:r>
          </w:p>
          <w:p w:rsidR="003440C3" w:rsidRPr="0049586F" w:rsidRDefault="003440C3" w:rsidP="0049586F">
            <w:pPr>
              <w:pStyle w:val="body"/>
              <w:tabs>
                <w:tab w:val="left" w:leader="underscore" w:pos="9900"/>
              </w:tabs>
              <w:rPr>
                <w:rFonts w:ascii="Arial" w:hAnsi="Arial"/>
                <w:sz w:val="18"/>
                <w:szCs w:val="18"/>
                <w:lang w:val="en-AU"/>
              </w:rPr>
            </w:pPr>
            <w:r w:rsidRPr="0049586F">
              <w:rPr>
                <w:rFonts w:ascii="Arial" w:hAnsi="Arial"/>
                <w:sz w:val="18"/>
                <w:szCs w:val="18"/>
                <w:lang w:val="en-AU"/>
              </w:rPr>
              <w:t xml:space="preserve">Students produce one creative arts product. If it is a collaborative creative arts product, students need to clearly identify and represent their own contribution for assessment. </w:t>
            </w:r>
          </w:p>
          <w:p w:rsidR="003440C3" w:rsidRPr="0049586F" w:rsidRDefault="003440C3" w:rsidP="0049586F">
            <w:pPr>
              <w:rPr>
                <w:b/>
                <w:sz w:val="18"/>
                <w:szCs w:val="18"/>
              </w:rPr>
            </w:pPr>
          </w:p>
          <w:p w:rsidR="003440C3" w:rsidRPr="0049586F" w:rsidRDefault="003440C3" w:rsidP="0049586F">
            <w:pPr>
              <w:rPr>
                <w:b/>
                <w:sz w:val="18"/>
                <w:szCs w:val="18"/>
              </w:rPr>
            </w:pPr>
            <w:r w:rsidRPr="0049586F">
              <w:rPr>
                <w:b/>
                <w:sz w:val="18"/>
                <w:szCs w:val="18"/>
              </w:rPr>
              <w:t xml:space="preserve">Support Materials </w:t>
            </w:r>
          </w:p>
          <w:p w:rsidR="003440C3" w:rsidRPr="0049586F" w:rsidRDefault="003440C3" w:rsidP="0049586F">
            <w:pPr>
              <w:rPr>
                <w:sz w:val="18"/>
                <w:szCs w:val="18"/>
              </w:rPr>
            </w:pPr>
            <w:r w:rsidRPr="0049586F">
              <w:rPr>
                <w:sz w:val="18"/>
                <w:szCs w:val="18"/>
              </w:rPr>
              <w:t xml:space="preserve">The support materials should include evidence of: </w:t>
            </w:r>
          </w:p>
          <w:p w:rsidR="003440C3" w:rsidRPr="0049586F" w:rsidRDefault="003440C3" w:rsidP="0049586F">
            <w:pPr>
              <w:pStyle w:val="ListParagraph"/>
              <w:numPr>
                <w:ilvl w:val="0"/>
                <w:numId w:val="15"/>
              </w:numPr>
              <w:rPr>
                <w:sz w:val="18"/>
                <w:szCs w:val="18"/>
              </w:rPr>
            </w:pPr>
            <w:r w:rsidRPr="0049586F">
              <w:rPr>
                <w:sz w:val="18"/>
                <w:szCs w:val="18"/>
              </w:rPr>
              <w:t>an understanding of the creative arts process</w:t>
            </w:r>
          </w:p>
          <w:p w:rsidR="003440C3" w:rsidRPr="0049586F" w:rsidRDefault="003440C3" w:rsidP="0049586F">
            <w:pPr>
              <w:pStyle w:val="ListParagraph"/>
              <w:numPr>
                <w:ilvl w:val="0"/>
                <w:numId w:val="15"/>
              </w:numPr>
              <w:rPr>
                <w:sz w:val="18"/>
                <w:szCs w:val="18"/>
              </w:rPr>
            </w:pPr>
            <w:r w:rsidRPr="0049586F">
              <w:rPr>
                <w:sz w:val="18"/>
                <w:szCs w:val="18"/>
              </w:rPr>
              <w:t>investigation of relevant core concepts and creative arts in practice</w:t>
            </w:r>
          </w:p>
          <w:p w:rsidR="003440C3" w:rsidRPr="0049586F" w:rsidRDefault="003440C3" w:rsidP="0049586F">
            <w:pPr>
              <w:pStyle w:val="ListParagraph"/>
              <w:numPr>
                <w:ilvl w:val="0"/>
                <w:numId w:val="15"/>
              </w:numPr>
              <w:rPr>
                <w:sz w:val="18"/>
                <w:szCs w:val="18"/>
              </w:rPr>
            </w:pPr>
            <w:r w:rsidRPr="0049586F">
              <w:rPr>
                <w:sz w:val="18"/>
                <w:szCs w:val="18"/>
              </w:rPr>
              <w:t>development and production processes</w:t>
            </w:r>
          </w:p>
          <w:p w:rsidR="003440C3" w:rsidRPr="0049586F" w:rsidRDefault="003440C3" w:rsidP="0049586F">
            <w:pPr>
              <w:pStyle w:val="ListParagraph"/>
              <w:numPr>
                <w:ilvl w:val="0"/>
                <w:numId w:val="15"/>
              </w:numPr>
              <w:rPr>
                <w:sz w:val="18"/>
                <w:szCs w:val="18"/>
              </w:rPr>
            </w:pPr>
            <w:r w:rsidRPr="0049586F">
              <w:rPr>
                <w:sz w:val="18"/>
                <w:szCs w:val="18"/>
              </w:rPr>
              <w:t>productive work</w:t>
            </w:r>
          </w:p>
          <w:p w:rsidR="007528F7" w:rsidRPr="0049586F" w:rsidRDefault="003440C3" w:rsidP="0049586F">
            <w:pPr>
              <w:pStyle w:val="ListParagraph"/>
              <w:numPr>
                <w:ilvl w:val="0"/>
                <w:numId w:val="15"/>
              </w:numPr>
              <w:rPr>
                <w:sz w:val="18"/>
                <w:szCs w:val="18"/>
              </w:rPr>
            </w:pPr>
            <w:r w:rsidRPr="0049586F">
              <w:rPr>
                <w:sz w:val="18"/>
                <w:szCs w:val="18"/>
              </w:rPr>
              <w:t>reflection on the processes and product</w:t>
            </w:r>
          </w:p>
        </w:tc>
        <w:tc>
          <w:tcPr>
            <w:tcW w:w="992" w:type="dxa"/>
            <w:tcBorders>
              <w:bottom w:val="single" w:sz="4" w:space="0" w:color="auto"/>
            </w:tcBorders>
            <w:shd w:val="clear" w:color="auto" w:fill="auto"/>
            <w:vAlign w:val="center"/>
          </w:tcPr>
          <w:p w:rsidR="007528F7" w:rsidRPr="0049586F" w:rsidRDefault="007528F7" w:rsidP="00422168">
            <w:pPr>
              <w:pStyle w:val="ACLAPTableText"/>
              <w:jc w:val="center"/>
              <w:rPr>
                <w:sz w:val="18"/>
                <w:szCs w:val="18"/>
                <w:lang w:val="en-US"/>
              </w:rPr>
            </w:pPr>
          </w:p>
        </w:tc>
        <w:tc>
          <w:tcPr>
            <w:tcW w:w="993" w:type="dxa"/>
            <w:tcBorders>
              <w:bottom w:val="single" w:sz="4" w:space="0" w:color="auto"/>
            </w:tcBorders>
            <w:shd w:val="clear" w:color="auto" w:fill="auto"/>
            <w:vAlign w:val="center"/>
          </w:tcPr>
          <w:p w:rsidR="007528F7" w:rsidRPr="0049586F" w:rsidRDefault="003440C3" w:rsidP="00422168">
            <w:pPr>
              <w:pStyle w:val="ACLAPTableText"/>
              <w:jc w:val="center"/>
              <w:rPr>
                <w:sz w:val="18"/>
                <w:szCs w:val="18"/>
                <w:lang w:val="en-US"/>
              </w:rPr>
            </w:pPr>
            <w:r w:rsidRPr="0049586F">
              <w:rPr>
                <w:sz w:val="18"/>
                <w:szCs w:val="18"/>
                <w:lang w:val="en-US"/>
              </w:rPr>
              <w:t>1, 2,3,4</w:t>
            </w:r>
          </w:p>
        </w:tc>
        <w:tc>
          <w:tcPr>
            <w:tcW w:w="850" w:type="dxa"/>
            <w:tcBorders>
              <w:bottom w:val="single" w:sz="4" w:space="0" w:color="auto"/>
            </w:tcBorders>
            <w:vAlign w:val="center"/>
          </w:tcPr>
          <w:p w:rsidR="007528F7" w:rsidRPr="0049586F" w:rsidRDefault="003440C3" w:rsidP="00422168">
            <w:pPr>
              <w:pStyle w:val="ACLAPTableText"/>
              <w:jc w:val="center"/>
              <w:rPr>
                <w:sz w:val="18"/>
                <w:szCs w:val="18"/>
                <w:lang w:val="en-US"/>
              </w:rPr>
            </w:pPr>
            <w:r w:rsidRPr="0049586F">
              <w:rPr>
                <w:sz w:val="18"/>
                <w:szCs w:val="18"/>
                <w:lang w:val="en-US"/>
              </w:rPr>
              <w:t>1,2,3</w:t>
            </w:r>
          </w:p>
        </w:tc>
        <w:tc>
          <w:tcPr>
            <w:tcW w:w="992" w:type="dxa"/>
            <w:tcBorders>
              <w:bottom w:val="single" w:sz="4" w:space="0" w:color="auto"/>
            </w:tcBorders>
            <w:shd w:val="clear" w:color="auto" w:fill="auto"/>
            <w:vAlign w:val="center"/>
          </w:tcPr>
          <w:p w:rsidR="007528F7" w:rsidRPr="0049586F" w:rsidRDefault="00FD5B63" w:rsidP="00422168">
            <w:pPr>
              <w:pStyle w:val="ACLAPTableText"/>
              <w:jc w:val="center"/>
              <w:rPr>
                <w:sz w:val="18"/>
                <w:szCs w:val="18"/>
                <w:lang w:val="en-US"/>
              </w:rPr>
            </w:pPr>
            <w:r w:rsidRPr="0049586F">
              <w:rPr>
                <w:sz w:val="18"/>
                <w:szCs w:val="18"/>
                <w:lang w:val="en-US"/>
              </w:rPr>
              <w:t>1,2</w:t>
            </w:r>
          </w:p>
        </w:tc>
        <w:tc>
          <w:tcPr>
            <w:tcW w:w="3402" w:type="dxa"/>
            <w:tcBorders>
              <w:bottom w:val="single" w:sz="4" w:space="0" w:color="auto"/>
            </w:tcBorders>
            <w:shd w:val="clear" w:color="auto" w:fill="auto"/>
          </w:tcPr>
          <w:p w:rsidR="003440C3" w:rsidRPr="0049586F" w:rsidRDefault="003440C3" w:rsidP="003440C3">
            <w:pPr>
              <w:spacing w:after="40"/>
              <w:rPr>
                <w:rFonts w:cs="Arial"/>
                <w:sz w:val="18"/>
                <w:szCs w:val="18"/>
                <w:lang w:val="en-US"/>
              </w:rPr>
            </w:pPr>
          </w:p>
          <w:p w:rsidR="003440C3" w:rsidRPr="0049586F" w:rsidRDefault="003440C3" w:rsidP="003440C3">
            <w:pPr>
              <w:spacing w:after="40"/>
              <w:rPr>
                <w:rFonts w:cs="Arial"/>
                <w:sz w:val="18"/>
                <w:szCs w:val="18"/>
                <w:lang w:val="en-US"/>
              </w:rPr>
            </w:pPr>
            <w:r w:rsidRPr="0049586F">
              <w:rPr>
                <w:rFonts w:cs="Arial"/>
                <w:sz w:val="18"/>
                <w:szCs w:val="18"/>
                <w:lang w:val="en-US"/>
              </w:rPr>
              <w:t>Students present their creative arts product, a series of photographs of their product or the equivalent in multimodal form.</w:t>
            </w:r>
          </w:p>
          <w:p w:rsidR="007528F7" w:rsidRPr="0049586F" w:rsidRDefault="007528F7" w:rsidP="0010089A">
            <w:pPr>
              <w:pStyle w:val="ACLAPTableText"/>
              <w:rPr>
                <w:sz w:val="18"/>
                <w:szCs w:val="18"/>
              </w:rPr>
            </w:pPr>
          </w:p>
          <w:p w:rsidR="003440C3" w:rsidRPr="0049586F" w:rsidRDefault="003440C3" w:rsidP="0010089A">
            <w:pPr>
              <w:pStyle w:val="ACLAPTableText"/>
              <w:rPr>
                <w:sz w:val="18"/>
                <w:szCs w:val="18"/>
              </w:rPr>
            </w:pPr>
            <w:r w:rsidRPr="0049586F">
              <w:rPr>
                <w:sz w:val="18"/>
                <w:szCs w:val="18"/>
                <w:lang w:val="en-US"/>
              </w:rPr>
              <w:t>The record of support materials should be a maximum of 750 words if written or a maximum of 5 minutes if oral, or the equivalent in multimodal form, and to a maximum of six A3 pages (or equivalent).</w:t>
            </w:r>
          </w:p>
        </w:tc>
      </w:tr>
      <w:tr w:rsidR="007528F7" w:rsidRPr="004963F3" w:rsidTr="0049586F">
        <w:trPr>
          <w:trHeight w:val="1701"/>
        </w:trPr>
        <w:tc>
          <w:tcPr>
            <w:tcW w:w="1396" w:type="dxa"/>
            <w:vMerge w:val="restart"/>
            <w:tcBorders>
              <w:top w:val="single" w:sz="4" w:space="0" w:color="auto"/>
            </w:tcBorders>
            <w:shd w:val="clear" w:color="auto" w:fill="auto"/>
            <w:vAlign w:val="center"/>
          </w:tcPr>
          <w:p w:rsidR="007528F7" w:rsidRPr="001D2CFB" w:rsidRDefault="007528F7" w:rsidP="0010089A">
            <w:pPr>
              <w:pStyle w:val="LAPTableText"/>
              <w:jc w:val="center"/>
              <w:rPr>
                <w:b/>
                <w:lang w:val="en-US"/>
              </w:rPr>
            </w:pPr>
            <w:r w:rsidRPr="001D2CFB">
              <w:rPr>
                <w:b/>
                <w:lang w:val="en-US"/>
              </w:rPr>
              <w:t>Assessment Type 2: Folio</w:t>
            </w:r>
          </w:p>
          <w:p w:rsidR="007528F7" w:rsidRPr="001D2CFB" w:rsidRDefault="007528F7" w:rsidP="0010089A">
            <w:pPr>
              <w:pStyle w:val="LAPTableText"/>
              <w:jc w:val="center"/>
              <w:rPr>
                <w:b/>
                <w:lang w:val="en-US"/>
              </w:rPr>
            </w:pPr>
          </w:p>
          <w:p w:rsidR="007528F7" w:rsidRPr="001D2CFB" w:rsidRDefault="007528F7" w:rsidP="0010089A">
            <w:pPr>
              <w:pStyle w:val="LAPTableText"/>
              <w:jc w:val="center"/>
              <w:rPr>
                <w:b/>
                <w:lang w:val="en-US"/>
              </w:rPr>
            </w:pPr>
            <w:r w:rsidRPr="001D2CFB">
              <w:rPr>
                <w:b/>
                <w:lang w:val="en-US"/>
              </w:rPr>
              <w:t>Weighting</w:t>
            </w:r>
          </w:p>
          <w:p w:rsidR="007528F7" w:rsidRPr="001D2CFB" w:rsidRDefault="001D2CFB" w:rsidP="0010089A">
            <w:pPr>
              <w:pStyle w:val="LAPTableText"/>
              <w:jc w:val="center"/>
              <w:rPr>
                <w:b/>
                <w:lang w:val="en-US"/>
              </w:rPr>
            </w:pPr>
            <w:r w:rsidRPr="001D2CFB">
              <w:rPr>
                <w:b/>
                <w:lang w:val="en-US"/>
              </w:rPr>
              <w:t>50</w:t>
            </w:r>
            <w:r w:rsidR="007528F7" w:rsidRPr="001D2CFB">
              <w:rPr>
                <w:b/>
                <w:lang w:val="en-US"/>
              </w:rPr>
              <w:t>%</w:t>
            </w:r>
          </w:p>
          <w:p w:rsidR="007528F7" w:rsidRPr="00F40B4F" w:rsidRDefault="007528F7" w:rsidP="0010089A">
            <w:pPr>
              <w:pStyle w:val="LAPTableText"/>
              <w:jc w:val="center"/>
              <w:rPr>
                <w:b/>
                <w:lang w:val="en-US"/>
              </w:rPr>
            </w:pPr>
          </w:p>
          <w:p w:rsidR="007528F7" w:rsidRPr="00F40B4F" w:rsidRDefault="007528F7" w:rsidP="0010089A">
            <w:pPr>
              <w:pStyle w:val="LAPTableText"/>
              <w:jc w:val="center"/>
              <w:rPr>
                <w:b/>
                <w:lang w:val="en-US"/>
              </w:rPr>
            </w:pPr>
          </w:p>
          <w:p w:rsidR="007528F7" w:rsidRPr="00F40B4F" w:rsidRDefault="007528F7" w:rsidP="001D2CFB">
            <w:pPr>
              <w:pStyle w:val="LAPTableText"/>
              <w:rPr>
                <w:b/>
                <w:lang w:val="en-US"/>
              </w:rPr>
            </w:pPr>
          </w:p>
        </w:tc>
        <w:tc>
          <w:tcPr>
            <w:tcW w:w="6792" w:type="dxa"/>
            <w:tcBorders>
              <w:top w:val="single" w:sz="4" w:space="0" w:color="auto"/>
            </w:tcBorders>
            <w:shd w:val="clear" w:color="auto" w:fill="auto"/>
            <w:vAlign w:val="center"/>
          </w:tcPr>
          <w:p w:rsidR="001D2CFB" w:rsidRPr="0049586F" w:rsidRDefault="001D2CFB" w:rsidP="0049586F">
            <w:pPr>
              <w:rPr>
                <w:rFonts w:cs="Arial"/>
                <w:sz w:val="18"/>
                <w:szCs w:val="18"/>
              </w:rPr>
            </w:pPr>
            <w:r w:rsidRPr="0049586F">
              <w:rPr>
                <w:rFonts w:cs="Arial"/>
                <w:b/>
                <w:sz w:val="18"/>
                <w:szCs w:val="18"/>
              </w:rPr>
              <w:t>Investigation</w:t>
            </w:r>
          </w:p>
          <w:p w:rsidR="001D2CFB" w:rsidRPr="0049586F" w:rsidRDefault="001D2CFB" w:rsidP="0049586F">
            <w:pPr>
              <w:rPr>
                <w:rFonts w:cs="Arial"/>
                <w:i/>
                <w:sz w:val="18"/>
                <w:szCs w:val="18"/>
              </w:rPr>
            </w:pPr>
            <w:r w:rsidRPr="0049586F">
              <w:rPr>
                <w:rFonts w:cs="Arial"/>
                <w:i/>
                <w:sz w:val="18"/>
                <w:szCs w:val="18"/>
              </w:rPr>
              <w:t>Note: Investigations should not repeat learning already developed through the creative arts product(s).</w:t>
            </w:r>
          </w:p>
          <w:p w:rsidR="007528F7" w:rsidRPr="0049586F" w:rsidRDefault="00B17503" w:rsidP="0049586F">
            <w:pPr>
              <w:pStyle w:val="ACLAPTableText"/>
              <w:rPr>
                <w:sz w:val="18"/>
                <w:szCs w:val="18"/>
                <w:lang w:val="en-US"/>
              </w:rPr>
            </w:pPr>
            <w:r w:rsidRPr="0049586F">
              <w:rPr>
                <w:sz w:val="18"/>
                <w:szCs w:val="18"/>
                <w:lang w:val="en-US"/>
              </w:rPr>
              <w:t xml:space="preserve">Students choose to investigate the product of a creative arts practitioner. They build their knowledge and understanding of the nature, concepts, techniques and processes of the work of the practitioner. </w:t>
            </w:r>
          </w:p>
        </w:tc>
        <w:tc>
          <w:tcPr>
            <w:tcW w:w="992" w:type="dxa"/>
            <w:tcBorders>
              <w:top w:val="single" w:sz="4" w:space="0" w:color="auto"/>
            </w:tcBorders>
            <w:shd w:val="clear" w:color="auto" w:fill="auto"/>
            <w:vAlign w:val="center"/>
          </w:tcPr>
          <w:p w:rsidR="007528F7" w:rsidRPr="0049586F" w:rsidRDefault="00DF1FBE" w:rsidP="00422168">
            <w:pPr>
              <w:pStyle w:val="ACLAPTableText"/>
              <w:jc w:val="center"/>
              <w:rPr>
                <w:sz w:val="18"/>
                <w:szCs w:val="18"/>
                <w:lang w:val="en-US"/>
              </w:rPr>
            </w:pPr>
            <w:r w:rsidRPr="0049586F">
              <w:rPr>
                <w:sz w:val="18"/>
                <w:szCs w:val="18"/>
                <w:lang w:val="en-US"/>
              </w:rPr>
              <w:t>1,2,3</w:t>
            </w:r>
          </w:p>
        </w:tc>
        <w:tc>
          <w:tcPr>
            <w:tcW w:w="993" w:type="dxa"/>
            <w:tcBorders>
              <w:top w:val="single" w:sz="4" w:space="0" w:color="auto"/>
            </w:tcBorders>
            <w:shd w:val="clear" w:color="auto" w:fill="auto"/>
            <w:vAlign w:val="center"/>
          </w:tcPr>
          <w:p w:rsidR="007528F7" w:rsidRPr="0049586F" w:rsidRDefault="007528F7" w:rsidP="00422168">
            <w:pPr>
              <w:pStyle w:val="ACLAPTableText"/>
              <w:jc w:val="center"/>
              <w:rPr>
                <w:sz w:val="18"/>
                <w:szCs w:val="18"/>
                <w:lang w:val="en-US"/>
              </w:rPr>
            </w:pPr>
          </w:p>
        </w:tc>
        <w:tc>
          <w:tcPr>
            <w:tcW w:w="850" w:type="dxa"/>
            <w:tcBorders>
              <w:top w:val="single" w:sz="4" w:space="0" w:color="auto"/>
            </w:tcBorders>
            <w:vAlign w:val="center"/>
          </w:tcPr>
          <w:p w:rsidR="007528F7" w:rsidRPr="0049586F" w:rsidRDefault="00DF1FBE" w:rsidP="00422168">
            <w:pPr>
              <w:pStyle w:val="ACLAPTableText"/>
              <w:jc w:val="center"/>
              <w:rPr>
                <w:sz w:val="18"/>
                <w:szCs w:val="18"/>
                <w:lang w:val="en-US"/>
              </w:rPr>
            </w:pPr>
            <w:r w:rsidRPr="0049586F">
              <w:rPr>
                <w:sz w:val="18"/>
                <w:szCs w:val="18"/>
                <w:lang w:val="en-US"/>
              </w:rPr>
              <w:t>1,2,3</w:t>
            </w:r>
          </w:p>
        </w:tc>
        <w:tc>
          <w:tcPr>
            <w:tcW w:w="992" w:type="dxa"/>
            <w:tcBorders>
              <w:top w:val="single" w:sz="4" w:space="0" w:color="auto"/>
            </w:tcBorders>
            <w:shd w:val="clear" w:color="auto" w:fill="auto"/>
            <w:vAlign w:val="center"/>
          </w:tcPr>
          <w:p w:rsidR="007528F7" w:rsidRPr="0049586F" w:rsidRDefault="00DF1FBE" w:rsidP="00422168">
            <w:pPr>
              <w:pStyle w:val="ACLAPTableText"/>
              <w:jc w:val="center"/>
              <w:rPr>
                <w:sz w:val="18"/>
                <w:szCs w:val="18"/>
                <w:lang w:val="en-US"/>
              </w:rPr>
            </w:pPr>
            <w:r w:rsidRPr="0049586F">
              <w:rPr>
                <w:sz w:val="18"/>
                <w:szCs w:val="18"/>
                <w:lang w:val="en-US"/>
              </w:rPr>
              <w:t>1,2</w:t>
            </w:r>
          </w:p>
        </w:tc>
        <w:tc>
          <w:tcPr>
            <w:tcW w:w="3402" w:type="dxa"/>
            <w:tcBorders>
              <w:top w:val="single" w:sz="4" w:space="0" w:color="auto"/>
            </w:tcBorders>
            <w:shd w:val="clear" w:color="auto" w:fill="auto"/>
            <w:vAlign w:val="center"/>
          </w:tcPr>
          <w:p w:rsidR="00271877" w:rsidRPr="0049586F" w:rsidRDefault="00271877" w:rsidP="0049586F">
            <w:pPr>
              <w:rPr>
                <w:rFonts w:cs="Arial"/>
                <w:sz w:val="18"/>
                <w:szCs w:val="18"/>
              </w:rPr>
            </w:pPr>
            <w:r w:rsidRPr="0049586F">
              <w:rPr>
                <w:rFonts w:cs="Arial"/>
                <w:sz w:val="18"/>
                <w:szCs w:val="18"/>
              </w:rPr>
              <w:t>Students present their evidence of learning in one of the following forms:</w:t>
            </w:r>
          </w:p>
          <w:p w:rsidR="00271877" w:rsidRPr="0049586F" w:rsidRDefault="00271877" w:rsidP="0049586F">
            <w:pPr>
              <w:numPr>
                <w:ilvl w:val="0"/>
                <w:numId w:val="16"/>
              </w:numPr>
              <w:rPr>
                <w:rFonts w:cs="Arial"/>
                <w:sz w:val="18"/>
                <w:szCs w:val="18"/>
              </w:rPr>
            </w:pPr>
            <w:r w:rsidRPr="0049586F">
              <w:rPr>
                <w:rFonts w:cs="Arial"/>
                <w:sz w:val="18"/>
                <w:szCs w:val="18"/>
              </w:rPr>
              <w:t xml:space="preserve">Written – up to 750 words </w:t>
            </w:r>
          </w:p>
          <w:p w:rsidR="00271877" w:rsidRPr="0049586F" w:rsidRDefault="00271877" w:rsidP="0049586F">
            <w:pPr>
              <w:numPr>
                <w:ilvl w:val="0"/>
                <w:numId w:val="17"/>
              </w:numPr>
              <w:tabs>
                <w:tab w:val="clear" w:pos="1440"/>
                <w:tab w:val="num" w:pos="387"/>
              </w:tabs>
              <w:ind w:left="387" w:hanging="371"/>
              <w:rPr>
                <w:rFonts w:cs="Arial"/>
                <w:sz w:val="18"/>
                <w:szCs w:val="18"/>
              </w:rPr>
            </w:pPr>
            <w:r w:rsidRPr="0049586F">
              <w:rPr>
                <w:rFonts w:cs="Arial"/>
                <w:sz w:val="18"/>
                <w:szCs w:val="18"/>
              </w:rPr>
              <w:t>Individual oral presentation – up to a maximum of 5 minutes</w:t>
            </w:r>
          </w:p>
          <w:p w:rsidR="007528F7" w:rsidRPr="0049586F" w:rsidRDefault="00271877" w:rsidP="0049586F">
            <w:pPr>
              <w:pStyle w:val="ACLAPTableText"/>
              <w:rPr>
                <w:sz w:val="18"/>
                <w:szCs w:val="18"/>
              </w:rPr>
            </w:pPr>
            <w:r w:rsidRPr="0049586F">
              <w:rPr>
                <w:sz w:val="18"/>
                <w:szCs w:val="18"/>
              </w:rPr>
              <w:t>Multimodal form – a negotiated equivalent.</w:t>
            </w:r>
          </w:p>
        </w:tc>
      </w:tr>
      <w:tr w:rsidR="007528F7" w:rsidRPr="004963F3" w:rsidTr="0049586F">
        <w:trPr>
          <w:trHeight w:val="2701"/>
        </w:trPr>
        <w:tc>
          <w:tcPr>
            <w:tcW w:w="1396" w:type="dxa"/>
            <w:vMerge/>
            <w:shd w:val="clear" w:color="auto" w:fill="auto"/>
            <w:vAlign w:val="center"/>
          </w:tcPr>
          <w:p w:rsidR="007528F7" w:rsidRPr="00F40B4F" w:rsidRDefault="007528F7" w:rsidP="0010089A">
            <w:pPr>
              <w:pStyle w:val="LAPTableText"/>
              <w:jc w:val="center"/>
              <w:rPr>
                <w:b/>
                <w:lang w:val="en-US"/>
              </w:rPr>
            </w:pPr>
          </w:p>
        </w:tc>
        <w:tc>
          <w:tcPr>
            <w:tcW w:w="6792" w:type="dxa"/>
            <w:shd w:val="clear" w:color="auto" w:fill="auto"/>
            <w:vAlign w:val="center"/>
          </w:tcPr>
          <w:p w:rsidR="001D2CFB" w:rsidRPr="0049586F" w:rsidRDefault="001D2CFB" w:rsidP="0049586F">
            <w:pPr>
              <w:tabs>
                <w:tab w:val="left" w:pos="1800"/>
              </w:tabs>
              <w:rPr>
                <w:rFonts w:cs="Arial"/>
                <w:b/>
                <w:sz w:val="18"/>
                <w:szCs w:val="18"/>
              </w:rPr>
            </w:pPr>
            <w:r w:rsidRPr="0049586F">
              <w:rPr>
                <w:rFonts w:cs="Arial"/>
                <w:b/>
                <w:sz w:val="18"/>
                <w:szCs w:val="18"/>
              </w:rPr>
              <w:t>Skills</w:t>
            </w:r>
            <w:r w:rsidR="00B17503" w:rsidRPr="0049586F">
              <w:rPr>
                <w:rFonts w:cs="Arial"/>
                <w:b/>
                <w:sz w:val="18"/>
                <w:szCs w:val="18"/>
              </w:rPr>
              <w:t xml:space="preserve"> Assessment</w:t>
            </w:r>
          </w:p>
          <w:p w:rsidR="00DF1FBE" w:rsidRPr="0049586F" w:rsidRDefault="00DF1FBE" w:rsidP="0049586F">
            <w:pPr>
              <w:tabs>
                <w:tab w:val="left" w:pos="1800"/>
              </w:tabs>
              <w:rPr>
                <w:rFonts w:cs="Arial"/>
                <w:i/>
                <w:sz w:val="18"/>
                <w:szCs w:val="18"/>
              </w:rPr>
            </w:pPr>
          </w:p>
          <w:p w:rsidR="00B17503" w:rsidRPr="0049586F" w:rsidRDefault="00B17503" w:rsidP="0049586F">
            <w:pPr>
              <w:tabs>
                <w:tab w:val="left" w:pos="1800"/>
              </w:tabs>
              <w:rPr>
                <w:rFonts w:cs="Arial"/>
                <w:i/>
                <w:sz w:val="18"/>
                <w:szCs w:val="18"/>
              </w:rPr>
            </w:pPr>
            <w:r w:rsidRPr="0049586F">
              <w:rPr>
                <w:rFonts w:cs="Arial"/>
                <w:i/>
                <w:sz w:val="18"/>
                <w:szCs w:val="18"/>
              </w:rPr>
              <w:t>Part 1: Skills Record</w:t>
            </w:r>
          </w:p>
          <w:p w:rsidR="00B17503" w:rsidRPr="0049586F" w:rsidRDefault="00B17503" w:rsidP="0049586F">
            <w:pPr>
              <w:tabs>
                <w:tab w:val="left" w:pos="1800"/>
              </w:tabs>
              <w:rPr>
                <w:rFonts w:cs="Arial"/>
                <w:sz w:val="18"/>
                <w:szCs w:val="18"/>
              </w:rPr>
            </w:pPr>
            <w:r w:rsidRPr="0049586F">
              <w:rPr>
                <w:rFonts w:cs="Arial"/>
                <w:sz w:val="18"/>
                <w:szCs w:val="18"/>
              </w:rPr>
              <w:t>Students select a skills focus that further develops their learning in the relevant creative arts discipline or genre.  Students can experiment with or explore media, material, and techniq</w:t>
            </w:r>
            <w:r w:rsidR="00DF1FBE" w:rsidRPr="0049586F">
              <w:rPr>
                <w:rFonts w:cs="Arial"/>
                <w:sz w:val="18"/>
                <w:szCs w:val="18"/>
              </w:rPr>
              <w:t>u</w:t>
            </w:r>
            <w:r w:rsidRPr="0049586F">
              <w:rPr>
                <w:rFonts w:cs="Arial"/>
                <w:sz w:val="18"/>
                <w:szCs w:val="18"/>
              </w:rPr>
              <w:t>es;</w:t>
            </w:r>
            <w:r w:rsidR="00DF1FBE" w:rsidRPr="0049586F">
              <w:rPr>
                <w:rFonts w:cs="Arial"/>
                <w:sz w:val="18"/>
                <w:szCs w:val="18"/>
              </w:rPr>
              <w:t xml:space="preserve"> </w:t>
            </w:r>
            <w:r w:rsidRPr="0049586F">
              <w:rPr>
                <w:rFonts w:cs="Arial"/>
                <w:sz w:val="18"/>
                <w:szCs w:val="18"/>
              </w:rPr>
              <w:t>practise skills, rehears</w:t>
            </w:r>
            <w:r w:rsidR="00DF1FBE" w:rsidRPr="0049586F">
              <w:rPr>
                <w:rFonts w:cs="Arial"/>
                <w:sz w:val="18"/>
                <w:szCs w:val="18"/>
              </w:rPr>
              <w:t>e</w:t>
            </w:r>
            <w:r w:rsidRPr="0049586F">
              <w:rPr>
                <w:rFonts w:cs="Arial"/>
                <w:sz w:val="18"/>
                <w:szCs w:val="18"/>
              </w:rPr>
              <w:t xml:space="preserve"> or perform.</w:t>
            </w:r>
          </w:p>
          <w:p w:rsidR="00B17503" w:rsidRPr="0049586F" w:rsidRDefault="00B17503" w:rsidP="0049586F">
            <w:pPr>
              <w:tabs>
                <w:tab w:val="left" w:pos="1800"/>
              </w:tabs>
              <w:rPr>
                <w:rFonts w:cs="Arial"/>
                <w:sz w:val="18"/>
                <w:szCs w:val="18"/>
              </w:rPr>
            </w:pPr>
          </w:p>
          <w:p w:rsidR="007528F7" w:rsidRPr="0049586F" w:rsidRDefault="00B17503" w:rsidP="0049586F">
            <w:pPr>
              <w:tabs>
                <w:tab w:val="left" w:pos="1800"/>
              </w:tabs>
              <w:rPr>
                <w:sz w:val="18"/>
                <w:szCs w:val="18"/>
                <w:lang w:val="en-US"/>
              </w:rPr>
            </w:pPr>
            <w:r w:rsidRPr="0049586F">
              <w:rPr>
                <w:rFonts w:cs="Arial"/>
                <w:i/>
                <w:sz w:val="18"/>
                <w:szCs w:val="18"/>
              </w:rPr>
              <w:t xml:space="preserve">Part 2: </w:t>
            </w:r>
            <w:r w:rsidR="00DF1FBE" w:rsidRPr="0049586F">
              <w:rPr>
                <w:rFonts w:cs="Arial"/>
                <w:i/>
                <w:sz w:val="18"/>
                <w:szCs w:val="18"/>
              </w:rPr>
              <w:t>Reflection</w:t>
            </w:r>
            <w:r w:rsidR="00DF1FBE" w:rsidRPr="0049586F">
              <w:rPr>
                <w:rFonts w:cs="Arial"/>
                <w:sz w:val="18"/>
                <w:szCs w:val="18"/>
              </w:rPr>
              <w:t xml:space="preserve">. </w:t>
            </w:r>
            <w:r w:rsidRPr="0049586F">
              <w:rPr>
                <w:rFonts w:cs="Arial"/>
                <w:sz w:val="18"/>
                <w:szCs w:val="18"/>
              </w:rPr>
              <w:t xml:space="preserve">Students reflect on aspects of the skills they have developed in the </w:t>
            </w:r>
            <w:r w:rsidR="00DF1FBE" w:rsidRPr="0049586F">
              <w:rPr>
                <w:rFonts w:cs="Arial"/>
                <w:sz w:val="18"/>
                <w:szCs w:val="18"/>
              </w:rPr>
              <w:t>relevant</w:t>
            </w:r>
            <w:r w:rsidRPr="0049586F">
              <w:rPr>
                <w:rFonts w:cs="Arial"/>
                <w:sz w:val="18"/>
                <w:szCs w:val="18"/>
              </w:rPr>
              <w:t xml:space="preserve"> creative arts discipline. The reflection should focus on the personal benefits to their improved or newly acquired skills and the contribution that these skills may make to aspects of their school and community life and the application to potential pathways.</w:t>
            </w:r>
          </w:p>
        </w:tc>
        <w:tc>
          <w:tcPr>
            <w:tcW w:w="992" w:type="dxa"/>
            <w:shd w:val="clear" w:color="auto" w:fill="auto"/>
          </w:tcPr>
          <w:p w:rsidR="00271877" w:rsidRPr="0049586F" w:rsidRDefault="00271877" w:rsidP="00422168">
            <w:pPr>
              <w:pStyle w:val="ACLAPTableText"/>
              <w:jc w:val="center"/>
              <w:rPr>
                <w:sz w:val="18"/>
                <w:szCs w:val="18"/>
                <w:lang w:val="en-US"/>
              </w:rPr>
            </w:pPr>
          </w:p>
          <w:p w:rsidR="00271877" w:rsidRPr="0049586F" w:rsidRDefault="00271877" w:rsidP="00422168">
            <w:pPr>
              <w:pStyle w:val="ACLAPTableText"/>
              <w:jc w:val="center"/>
              <w:rPr>
                <w:sz w:val="18"/>
                <w:szCs w:val="18"/>
                <w:lang w:val="en-US"/>
              </w:rPr>
            </w:pPr>
          </w:p>
          <w:p w:rsidR="007528F7" w:rsidRPr="0049586F" w:rsidRDefault="00DF1FBE" w:rsidP="00422168">
            <w:pPr>
              <w:pStyle w:val="ACLAPTableText"/>
              <w:jc w:val="center"/>
              <w:rPr>
                <w:sz w:val="18"/>
                <w:szCs w:val="18"/>
                <w:lang w:val="en-US"/>
              </w:rPr>
            </w:pPr>
            <w:r w:rsidRPr="0049586F">
              <w:rPr>
                <w:sz w:val="18"/>
                <w:szCs w:val="18"/>
                <w:lang w:val="en-US"/>
              </w:rPr>
              <w:t>1,2,3</w:t>
            </w: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r w:rsidRPr="0049586F">
              <w:rPr>
                <w:sz w:val="18"/>
                <w:szCs w:val="18"/>
                <w:lang w:val="en-US"/>
              </w:rPr>
              <w:t>1,2,3</w:t>
            </w:r>
          </w:p>
        </w:tc>
        <w:tc>
          <w:tcPr>
            <w:tcW w:w="993" w:type="dxa"/>
            <w:shd w:val="clear" w:color="auto" w:fill="auto"/>
          </w:tcPr>
          <w:p w:rsidR="007528F7" w:rsidRPr="0049586F" w:rsidRDefault="007528F7" w:rsidP="00422168">
            <w:pPr>
              <w:pStyle w:val="ACLAPTableText"/>
              <w:jc w:val="center"/>
              <w:rPr>
                <w:sz w:val="18"/>
                <w:szCs w:val="18"/>
                <w:lang w:val="en-US"/>
              </w:rPr>
            </w:pPr>
          </w:p>
          <w:p w:rsidR="00271877" w:rsidRPr="0049586F" w:rsidRDefault="00271877" w:rsidP="00422168">
            <w:pPr>
              <w:pStyle w:val="ACLAPTableText"/>
              <w:jc w:val="center"/>
              <w:rPr>
                <w:sz w:val="18"/>
                <w:szCs w:val="18"/>
                <w:lang w:val="en-US"/>
              </w:rPr>
            </w:pPr>
          </w:p>
          <w:p w:rsidR="00271877" w:rsidRPr="0049586F" w:rsidRDefault="00271877" w:rsidP="00422168">
            <w:pPr>
              <w:pStyle w:val="ACLAPTableText"/>
              <w:jc w:val="center"/>
              <w:rPr>
                <w:sz w:val="18"/>
                <w:szCs w:val="18"/>
                <w:lang w:val="en-US"/>
              </w:rPr>
            </w:pPr>
            <w:r w:rsidRPr="0049586F">
              <w:rPr>
                <w:sz w:val="18"/>
                <w:szCs w:val="18"/>
                <w:lang w:val="en-US"/>
              </w:rPr>
              <w:t>1,4</w:t>
            </w:r>
          </w:p>
          <w:p w:rsidR="00DF1FBE" w:rsidRPr="0049586F" w:rsidRDefault="00DF1FBE" w:rsidP="00422168">
            <w:pPr>
              <w:pStyle w:val="ACLAPTableText"/>
              <w:jc w:val="center"/>
              <w:rPr>
                <w:sz w:val="18"/>
                <w:szCs w:val="18"/>
                <w:lang w:val="en-US"/>
              </w:rPr>
            </w:pPr>
          </w:p>
        </w:tc>
        <w:tc>
          <w:tcPr>
            <w:tcW w:w="850" w:type="dxa"/>
            <w:vAlign w:val="center"/>
          </w:tcPr>
          <w:p w:rsidR="007528F7" w:rsidRPr="0049586F" w:rsidRDefault="007528F7"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tc>
        <w:tc>
          <w:tcPr>
            <w:tcW w:w="992" w:type="dxa"/>
            <w:shd w:val="clear" w:color="auto" w:fill="auto"/>
          </w:tcPr>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DF1FBE" w:rsidRPr="0049586F" w:rsidRDefault="00DF1FBE" w:rsidP="00422168">
            <w:pPr>
              <w:pStyle w:val="ACLAPTableText"/>
              <w:jc w:val="center"/>
              <w:rPr>
                <w:sz w:val="18"/>
                <w:szCs w:val="18"/>
                <w:lang w:val="en-US"/>
              </w:rPr>
            </w:pPr>
          </w:p>
          <w:p w:rsidR="00271877" w:rsidRPr="0049586F" w:rsidRDefault="00271877" w:rsidP="00422168">
            <w:pPr>
              <w:pStyle w:val="ACLAPTableText"/>
              <w:jc w:val="center"/>
              <w:rPr>
                <w:sz w:val="18"/>
                <w:szCs w:val="18"/>
                <w:lang w:val="en-US"/>
              </w:rPr>
            </w:pPr>
          </w:p>
          <w:p w:rsidR="00271877" w:rsidRPr="0049586F" w:rsidRDefault="00271877" w:rsidP="00422168">
            <w:pPr>
              <w:pStyle w:val="ACLAPTableText"/>
              <w:jc w:val="center"/>
              <w:rPr>
                <w:sz w:val="18"/>
                <w:szCs w:val="18"/>
                <w:lang w:val="en-US"/>
              </w:rPr>
            </w:pPr>
          </w:p>
          <w:p w:rsidR="007528F7" w:rsidRPr="0049586F" w:rsidRDefault="00DF1FBE" w:rsidP="00422168">
            <w:pPr>
              <w:pStyle w:val="ACLAPTableText"/>
              <w:jc w:val="center"/>
              <w:rPr>
                <w:sz w:val="18"/>
                <w:szCs w:val="18"/>
                <w:lang w:val="en-US"/>
              </w:rPr>
            </w:pPr>
            <w:r w:rsidRPr="0049586F">
              <w:rPr>
                <w:sz w:val="18"/>
                <w:szCs w:val="18"/>
                <w:lang w:val="en-US"/>
              </w:rPr>
              <w:t>1,2</w:t>
            </w:r>
          </w:p>
        </w:tc>
        <w:tc>
          <w:tcPr>
            <w:tcW w:w="3402" w:type="dxa"/>
            <w:shd w:val="clear" w:color="auto" w:fill="auto"/>
          </w:tcPr>
          <w:p w:rsidR="00271877" w:rsidRPr="0049586F" w:rsidRDefault="00271877" w:rsidP="00271877">
            <w:pPr>
              <w:rPr>
                <w:rFonts w:cs="Arial"/>
                <w:sz w:val="18"/>
                <w:szCs w:val="18"/>
              </w:rPr>
            </w:pPr>
          </w:p>
          <w:p w:rsidR="00271877" w:rsidRPr="0049586F" w:rsidRDefault="00271877" w:rsidP="00271877">
            <w:pPr>
              <w:rPr>
                <w:rFonts w:cs="Arial"/>
                <w:sz w:val="18"/>
                <w:szCs w:val="18"/>
              </w:rPr>
            </w:pPr>
            <w:r w:rsidRPr="0049586F">
              <w:rPr>
                <w:rFonts w:cs="Arial"/>
                <w:sz w:val="18"/>
                <w:szCs w:val="18"/>
              </w:rPr>
              <w:t xml:space="preserve">The Skills Record may consist of </w:t>
            </w:r>
            <w:r w:rsidR="00430355" w:rsidRPr="0049586F">
              <w:rPr>
                <w:rFonts w:cs="Arial"/>
                <w:sz w:val="18"/>
                <w:szCs w:val="18"/>
              </w:rPr>
              <w:t xml:space="preserve">a maximum of 4 pieces of evidence in the form of </w:t>
            </w:r>
            <w:r w:rsidRPr="0049586F">
              <w:rPr>
                <w:rFonts w:cs="Arial"/>
                <w:sz w:val="18"/>
                <w:szCs w:val="18"/>
              </w:rPr>
              <w:t>material such as notes, sketche</w:t>
            </w:r>
            <w:r w:rsidR="00430355" w:rsidRPr="0049586F">
              <w:rPr>
                <w:rFonts w:cs="Arial"/>
                <w:sz w:val="18"/>
                <w:szCs w:val="18"/>
              </w:rPr>
              <w:t>s, photographs, diagrams and</w:t>
            </w:r>
            <w:r w:rsidRPr="0049586F">
              <w:rPr>
                <w:rFonts w:cs="Arial"/>
                <w:sz w:val="18"/>
                <w:szCs w:val="18"/>
              </w:rPr>
              <w:t xml:space="preserve"> observation</w:t>
            </w:r>
            <w:r w:rsidR="00430355" w:rsidRPr="0049586F">
              <w:rPr>
                <w:rFonts w:cs="Arial"/>
                <w:sz w:val="18"/>
                <w:szCs w:val="18"/>
              </w:rPr>
              <w:t>s or multi-modal.</w:t>
            </w:r>
          </w:p>
          <w:p w:rsidR="00430355" w:rsidRPr="0049586F" w:rsidRDefault="00430355" w:rsidP="00271877">
            <w:pPr>
              <w:rPr>
                <w:rFonts w:cs="Arial"/>
                <w:sz w:val="18"/>
                <w:szCs w:val="18"/>
              </w:rPr>
            </w:pPr>
          </w:p>
          <w:p w:rsidR="00271877" w:rsidRPr="0049586F" w:rsidRDefault="00430355" w:rsidP="00271877">
            <w:pPr>
              <w:rPr>
                <w:rFonts w:cs="Arial"/>
                <w:sz w:val="18"/>
                <w:szCs w:val="18"/>
              </w:rPr>
            </w:pPr>
            <w:r w:rsidRPr="0049586F">
              <w:rPr>
                <w:rFonts w:cs="Arial"/>
                <w:sz w:val="18"/>
                <w:szCs w:val="18"/>
              </w:rPr>
              <w:t>The combined evidence should be a maximum of 750 wor</w:t>
            </w:r>
            <w:r w:rsidR="00AC3FDA" w:rsidRPr="0049586F">
              <w:rPr>
                <w:rFonts w:cs="Arial"/>
                <w:sz w:val="18"/>
                <w:szCs w:val="18"/>
              </w:rPr>
              <w:t>ds if written or a maximum of 5</w:t>
            </w:r>
            <w:r w:rsidRPr="0049586F">
              <w:rPr>
                <w:rFonts w:cs="Arial"/>
                <w:sz w:val="18"/>
                <w:szCs w:val="18"/>
              </w:rPr>
              <w:t xml:space="preserve"> minutes oral or equivalent in multimedia format. </w:t>
            </w:r>
          </w:p>
          <w:p w:rsidR="007528F7" w:rsidRPr="0049586F" w:rsidRDefault="007528F7" w:rsidP="00271877">
            <w:pPr>
              <w:rPr>
                <w:sz w:val="18"/>
                <w:szCs w:val="18"/>
              </w:rPr>
            </w:pPr>
          </w:p>
        </w:tc>
      </w:tr>
    </w:tbl>
    <w:p w:rsidR="00D732EE" w:rsidRPr="0049586F" w:rsidRDefault="0049586F" w:rsidP="00E021FF">
      <w:pPr>
        <w:rPr>
          <w:rFonts w:cs="Arial"/>
          <w:i/>
          <w:iCs/>
          <w:sz w:val="20"/>
          <w:szCs w:val="20"/>
          <w:lang w:val="en-US"/>
        </w:rPr>
      </w:pPr>
      <w:r>
        <w:rPr>
          <w:rFonts w:cs="Arial"/>
          <w:b/>
          <w:bCs/>
          <w:i/>
          <w:iCs/>
          <w:sz w:val="20"/>
          <w:szCs w:val="20"/>
          <w:lang w:val="en-US"/>
        </w:rPr>
        <w:br/>
      </w:r>
      <w:proofErr w:type="gramStart"/>
      <w:r w:rsidR="00422168">
        <w:rPr>
          <w:rFonts w:cs="Arial"/>
          <w:b/>
          <w:bCs/>
          <w:i/>
          <w:iCs/>
          <w:sz w:val="20"/>
          <w:szCs w:val="20"/>
          <w:lang w:val="en-US"/>
        </w:rPr>
        <w:t>Three assessm</w:t>
      </w:r>
      <w:bookmarkStart w:id="0" w:name="_GoBack"/>
      <w:bookmarkEnd w:id="0"/>
      <w:r w:rsidR="00422168">
        <w:rPr>
          <w:rFonts w:cs="Arial"/>
          <w:b/>
          <w:bCs/>
          <w:i/>
          <w:iCs/>
          <w:sz w:val="20"/>
          <w:szCs w:val="20"/>
          <w:lang w:val="en-US"/>
        </w:rPr>
        <w:t>ents.</w:t>
      </w:r>
      <w:proofErr w:type="gramEnd"/>
      <w:r w:rsidR="00422168">
        <w:rPr>
          <w:rFonts w:cs="Arial"/>
          <w:b/>
          <w:bCs/>
          <w:i/>
          <w:iCs/>
          <w:sz w:val="20"/>
          <w:szCs w:val="20"/>
          <w:lang w:val="en-US"/>
        </w:rPr>
        <w:t xml:space="preserve"> </w:t>
      </w:r>
      <w:r w:rsidR="00422168">
        <w:rPr>
          <w:rFonts w:cs="Arial"/>
          <w:i/>
          <w:iCs/>
          <w:sz w:val="20"/>
          <w:szCs w:val="20"/>
          <w:lang w:val="en-US"/>
        </w:rPr>
        <w:t>Please refer to the Stage 1 Creative Arts subject outline.</w:t>
      </w:r>
    </w:p>
    <w:sectPr w:rsidR="00D732EE" w:rsidRPr="0049586F" w:rsidSect="00EB186C">
      <w:headerReference w:type="first" r:id="rId11"/>
      <w:footerReference w:type="first" r:id="rId12"/>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BA" w:rsidRDefault="008516BA">
      <w:r>
        <w:separator/>
      </w:r>
    </w:p>
  </w:endnote>
  <w:endnote w:type="continuationSeparator" w:id="0">
    <w:p w:rsidR="008516BA" w:rsidRDefault="0085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49586F">
      <w:rPr>
        <w:noProof/>
      </w:rPr>
      <w:t>1</w:t>
    </w:r>
    <w:r w:rsidRPr="00D732EE">
      <w:fldChar w:fldCharType="end"/>
    </w:r>
    <w:r w:rsidRPr="00D732EE">
      <w:t xml:space="preserve"> of </w:t>
    </w:r>
    <w:r w:rsidR="008516BA">
      <w:fldChar w:fldCharType="begin"/>
    </w:r>
    <w:r w:rsidR="008516BA">
      <w:instrText xml:space="preserve"> NUMPAGES  \* MERGEFORMAT </w:instrText>
    </w:r>
    <w:r w:rsidR="008516BA">
      <w:fldChar w:fldCharType="separate"/>
    </w:r>
    <w:r w:rsidR="0049586F">
      <w:rPr>
        <w:noProof/>
      </w:rPr>
      <w:t>2</w:t>
    </w:r>
    <w:r w:rsidR="008516BA">
      <w:rPr>
        <w:noProof/>
      </w:rPr>
      <w:fldChar w:fldCharType="end"/>
    </w:r>
  </w:p>
  <w:p w:rsidR="002A53B7" w:rsidRDefault="002A53B7" w:rsidP="001646DC">
    <w:pPr>
      <w:pStyle w:val="LAPFooter"/>
      <w:tabs>
        <w:tab w:val="clear" w:pos="9639"/>
        <w:tab w:val="right" w:pos="10206"/>
      </w:tabs>
    </w:pPr>
    <w:r w:rsidRPr="00D128A8">
      <w:fldChar w:fldCharType="begin"/>
    </w:r>
    <w:r w:rsidRPr="00D128A8">
      <w:instrText xml:space="preserve"> PAGE </w:instrText>
    </w:r>
    <w:r w:rsidRPr="00D128A8">
      <w:fldChar w:fldCharType="separate"/>
    </w:r>
    <w:r w:rsidR="0049586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9586F">
      <w:rPr>
        <w:noProof/>
      </w:rPr>
      <w:t>2</w:t>
    </w:r>
    <w:r w:rsidRPr="00D128A8">
      <w:fldChar w:fldCharType="end"/>
    </w:r>
    <w:r>
      <w:rPr>
        <w:sz w:val="18"/>
      </w:rPr>
      <w:tab/>
    </w:r>
    <w:r>
      <w:t xml:space="preserve">Stage 1 </w:t>
    </w:r>
    <w:r w:rsidR="001646DC">
      <w:t>Creative Arts</w:t>
    </w:r>
    <w:r>
      <w:t xml:space="preserve"> pre-approved </w:t>
    </w:r>
    <w:r w:rsidR="0049586F">
      <w:t>LAP - 01</w:t>
    </w:r>
    <w:r w:rsidR="00E021FF">
      <w:t xml:space="preserve"> (for use from 2017</w:t>
    </w:r>
    <w:r>
      <w:t>)</w:t>
    </w:r>
  </w:p>
  <w:p w:rsidR="002A53B7" w:rsidRPr="00AD3BD3" w:rsidRDefault="002A53B7" w:rsidP="007528F7">
    <w:pPr>
      <w:pStyle w:val="LAPFooter"/>
      <w:tabs>
        <w:tab w:val="clear" w:pos="9639"/>
        <w:tab w:val="right" w:pos="10206"/>
      </w:tabs>
    </w:pPr>
    <w:r w:rsidRPr="00AD3BD3">
      <w:tab/>
      <w:t xml:space="preserve">Ref: </w:t>
    </w:r>
    <w:proofErr w:type="gramStart"/>
    <w:r w:rsidR="0049586F">
      <w:t>A600547</w:t>
    </w:r>
    <w:r w:rsidR="00D732EE" w:rsidRPr="00AD3BD3">
      <w:t xml:space="preserve"> </w:t>
    </w:r>
    <w:r w:rsidR="00D732EE">
      <w:t xml:space="preserve"> </w:t>
    </w:r>
    <w:r w:rsidRPr="00AD3BD3">
      <w:t>(</w:t>
    </w:r>
    <w:proofErr w:type="gramEnd"/>
    <w:r>
      <w:t xml:space="preserve">created </w:t>
    </w:r>
    <w:r w:rsidR="007528F7">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6F" w:rsidRDefault="0049586F" w:rsidP="0049586F">
    <w:pPr>
      <w:pStyle w:val="LAPFooter"/>
      <w:tabs>
        <w:tab w:val="clear" w:pos="9639"/>
        <w:tab w:val="clear" w:pos="14742"/>
        <w:tab w:val="right" w:pos="15309"/>
      </w:tabs>
    </w:pPr>
    <w:r w:rsidRPr="00D128A8">
      <w:fldChar w:fldCharType="begin"/>
    </w:r>
    <w:r w:rsidRPr="00D128A8">
      <w:instrText xml:space="preserve"> PAGE </w:instrText>
    </w:r>
    <w:r w:rsidRPr="00D128A8">
      <w:fldChar w:fldCharType="separate"/>
    </w:r>
    <w:r>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2</w:t>
    </w:r>
    <w:r w:rsidRPr="00D128A8">
      <w:fldChar w:fldCharType="end"/>
    </w:r>
    <w:r>
      <w:rPr>
        <w:sz w:val="18"/>
      </w:rPr>
      <w:tab/>
    </w:r>
    <w:r>
      <w:t>Stage 1 Creative Arts pre-approved LAP - 01 (for use from 2017)</w:t>
    </w:r>
  </w:p>
  <w:p w:rsidR="0049586F" w:rsidRPr="00AD3BD3" w:rsidRDefault="0049586F" w:rsidP="0049586F">
    <w:pPr>
      <w:pStyle w:val="LAPFooter"/>
      <w:tabs>
        <w:tab w:val="clear" w:pos="9639"/>
        <w:tab w:val="clear" w:pos="14742"/>
        <w:tab w:val="right" w:pos="15309"/>
      </w:tabs>
    </w:pPr>
    <w:r w:rsidRPr="00AD3BD3">
      <w:tab/>
      <w:t xml:space="preserve">Ref: </w:t>
    </w:r>
    <w:proofErr w:type="gramStart"/>
    <w:r>
      <w:t>A600547</w:t>
    </w:r>
    <w:r w:rsidRPr="00AD3BD3">
      <w:t xml:space="preserve"> </w:t>
    </w:r>
    <w:r>
      <w:t xml:space="preserve"> </w:t>
    </w:r>
    <w:r w:rsidRPr="00AD3BD3">
      <w:t>(</w:t>
    </w:r>
    <w:proofErr w:type="gramEnd"/>
    <w:r>
      <w:t>created January 2017)</w:t>
    </w:r>
  </w:p>
  <w:p w:rsidR="00BA2185" w:rsidRPr="0049586F" w:rsidRDefault="0049586F" w:rsidP="0049586F">
    <w:pPr>
      <w:pStyle w:val="LAPFooter"/>
      <w:tabs>
        <w:tab w:val="clear" w:pos="9639"/>
        <w:tab w:val="clear" w:pos="14742"/>
        <w:tab w:val="right" w:pos="1530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BA" w:rsidRDefault="008516BA">
      <w:r>
        <w:separator/>
      </w:r>
    </w:p>
  </w:footnote>
  <w:footnote w:type="continuationSeparator" w:id="0">
    <w:p w:rsidR="008516BA" w:rsidRDefault="00851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8B2CD4">
    <w:pPr>
      <w:pStyle w:val="Header"/>
    </w:pPr>
    <w:r>
      <w:rPr>
        <w:caps/>
        <w:noProof/>
        <w:sz w:val="32"/>
        <w:szCs w:val="32"/>
      </w:rPr>
      <w:drawing>
        <wp:inline distT="0" distB="0" distL="0" distR="0" wp14:anchorId="6F0E270A" wp14:editId="0CFCA106">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7084C"/>
    <w:multiLevelType w:val="hybridMultilevel"/>
    <w:tmpl w:val="14DC9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758DC"/>
    <w:multiLevelType w:val="hybridMultilevel"/>
    <w:tmpl w:val="A3324516"/>
    <w:lvl w:ilvl="0" w:tplc="C3504E0E">
      <w:start w:val="1"/>
      <w:numFmt w:val="bullet"/>
      <w:lvlText w:val=""/>
      <w:lvlJc w:val="left"/>
      <w:pPr>
        <w:tabs>
          <w:tab w:val="num" w:pos="700"/>
        </w:tabs>
        <w:ind w:left="700" w:hanging="360"/>
      </w:pPr>
      <w:rPr>
        <w:rFonts w:ascii="Wingdings" w:hAnsi="Wingdings" w:hint="default"/>
        <w:b w:val="0"/>
        <w:i w:val="0"/>
        <w:color w:val="auto"/>
        <w:sz w:val="18"/>
        <w:u w:color="C0C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BE5D61"/>
    <w:multiLevelType w:val="hybridMultilevel"/>
    <w:tmpl w:val="CAF6FADA"/>
    <w:lvl w:ilvl="0" w:tplc="209C78CE">
      <w:start w:val="1"/>
      <w:numFmt w:val="bullet"/>
      <w:lvlText w:val=""/>
      <w:lvlJc w:val="left"/>
      <w:pPr>
        <w:tabs>
          <w:tab w:val="num" w:pos="700"/>
        </w:tabs>
        <w:ind w:left="700" w:hanging="360"/>
      </w:pPr>
      <w:rPr>
        <w:rFonts w:ascii="Wingdings" w:hAnsi="Wingdings" w:hint="default"/>
        <w:b w:val="0"/>
        <w:i w:val="0"/>
        <w:color w:val="auto"/>
        <w:sz w:val="18"/>
        <w:u w:color="C0C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BF304DE"/>
    <w:multiLevelType w:val="hybridMultilevel"/>
    <w:tmpl w:val="C2220950"/>
    <w:lvl w:ilvl="0" w:tplc="F3B6320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E62733E"/>
    <w:multiLevelType w:val="hybridMultilevel"/>
    <w:tmpl w:val="A43ACC66"/>
    <w:lvl w:ilvl="0" w:tplc="4F28406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2"/>
  </w:num>
  <w:num w:numId="8">
    <w:abstractNumId w:val="0"/>
  </w:num>
  <w:num w:numId="9">
    <w:abstractNumId w:val="14"/>
  </w:num>
  <w:num w:numId="10">
    <w:abstractNumId w:val="5"/>
  </w:num>
  <w:num w:numId="11">
    <w:abstractNumId w:val="8"/>
  </w:num>
  <w:num w:numId="12">
    <w:abstractNumId w:val="11"/>
  </w:num>
  <w:num w:numId="13">
    <w:abstractNumId w:val="6"/>
  </w:num>
  <w:num w:numId="14">
    <w:abstractNumId w:val="3"/>
  </w:num>
  <w:num w:numId="15">
    <w:abstractNumId w:val="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089A"/>
    <w:rsid w:val="001010FD"/>
    <w:rsid w:val="00107042"/>
    <w:rsid w:val="00114DEA"/>
    <w:rsid w:val="0011729D"/>
    <w:rsid w:val="0012277E"/>
    <w:rsid w:val="001301E1"/>
    <w:rsid w:val="00131DDD"/>
    <w:rsid w:val="001431A4"/>
    <w:rsid w:val="00144732"/>
    <w:rsid w:val="00145B37"/>
    <w:rsid w:val="00153616"/>
    <w:rsid w:val="00164004"/>
    <w:rsid w:val="001646DC"/>
    <w:rsid w:val="00171267"/>
    <w:rsid w:val="00175A80"/>
    <w:rsid w:val="00184222"/>
    <w:rsid w:val="00190550"/>
    <w:rsid w:val="00195415"/>
    <w:rsid w:val="001A4E06"/>
    <w:rsid w:val="001C556F"/>
    <w:rsid w:val="001D2CFB"/>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1877"/>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24A0"/>
    <w:rsid w:val="00325B01"/>
    <w:rsid w:val="00325D7E"/>
    <w:rsid w:val="00327F6B"/>
    <w:rsid w:val="00332C7C"/>
    <w:rsid w:val="0033343E"/>
    <w:rsid w:val="00336339"/>
    <w:rsid w:val="003440C3"/>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0216"/>
    <w:rsid w:val="003E2D9F"/>
    <w:rsid w:val="00410AB0"/>
    <w:rsid w:val="00412EBB"/>
    <w:rsid w:val="004132D9"/>
    <w:rsid w:val="004220DF"/>
    <w:rsid w:val="00422168"/>
    <w:rsid w:val="00425CAF"/>
    <w:rsid w:val="00430355"/>
    <w:rsid w:val="00436D6F"/>
    <w:rsid w:val="00447927"/>
    <w:rsid w:val="004729D1"/>
    <w:rsid w:val="004742DB"/>
    <w:rsid w:val="0049586F"/>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35B"/>
    <w:rsid w:val="0071148A"/>
    <w:rsid w:val="007135A4"/>
    <w:rsid w:val="00730C1A"/>
    <w:rsid w:val="007471E7"/>
    <w:rsid w:val="0074792E"/>
    <w:rsid w:val="007528F7"/>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16BA"/>
    <w:rsid w:val="00852288"/>
    <w:rsid w:val="00857CE2"/>
    <w:rsid w:val="008728C1"/>
    <w:rsid w:val="008A2758"/>
    <w:rsid w:val="008A43B0"/>
    <w:rsid w:val="008A490A"/>
    <w:rsid w:val="008A71E4"/>
    <w:rsid w:val="008A7D12"/>
    <w:rsid w:val="008B0103"/>
    <w:rsid w:val="008B2CD4"/>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281B"/>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3FDA"/>
    <w:rsid w:val="00AC4BB4"/>
    <w:rsid w:val="00AD2AA3"/>
    <w:rsid w:val="00AD4912"/>
    <w:rsid w:val="00AD5E80"/>
    <w:rsid w:val="00AD6EF5"/>
    <w:rsid w:val="00AE666B"/>
    <w:rsid w:val="00AE7751"/>
    <w:rsid w:val="00AF4060"/>
    <w:rsid w:val="00B07BD1"/>
    <w:rsid w:val="00B07FD2"/>
    <w:rsid w:val="00B14DF2"/>
    <w:rsid w:val="00B172C7"/>
    <w:rsid w:val="00B17503"/>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D78E2"/>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1FBE"/>
    <w:rsid w:val="00DF21E9"/>
    <w:rsid w:val="00DF5652"/>
    <w:rsid w:val="00DF6979"/>
    <w:rsid w:val="00E021FF"/>
    <w:rsid w:val="00E0302C"/>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D5B63"/>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344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34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 w:id="17974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04FA-BD87-4564-8C8C-B7D49C93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2017-01-06T04:40:00Z</dcterms:created>
  <dcterms:modified xsi:type="dcterms:W3CDTF">2017-01-09T04:46:00Z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A600547</vt:lpwstr>
  </property>
  <property fmtid="{D5CDD505-2E9C-101B-9397-08002B2CF9AE}" pid="3" name="Objective-Title">
    <vt:lpwstr>Creative Arts 10 credits- Pre-approved LAP 1  Stage 1</vt:lpwstr>
  </property>
  <property fmtid="{D5CDD505-2E9C-101B-9397-08002B2CF9AE}" pid="4" name="Objective-Comment">
    <vt:lpwstr/>
  </property>
  <property fmtid="{D5CDD505-2E9C-101B-9397-08002B2CF9AE}" pid="5" name="Objective-CreationStamp">
    <vt:filetime>2017-01-06T04:43:16Z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2017-01-09T04:41:02Z</vt:filetime>
  </property>
  <property fmtid="{D5CDD505-2E9C-101B-9397-08002B2CF9AE}" pid="10" name="Objective-Owner">
    <vt:lpwstr>Joy Cresp</vt:lpwstr>
  </property>
  <property fmtid="{D5CDD505-2E9C-101B-9397-08002B2CF9AE}" pid="11" name="Objective-Path">
    <vt:lpwstr>Objective Global Folder:SACE Support Materials:SACE Support Materials Stage 1:Arts:Creative Arts:LAPs:LAPs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qA6241</vt:lpwstr>
  </property>
  <property fmtid="{D5CDD505-2E9C-101B-9397-08002B2CF9AE}" pid="18" name="Objective-Classification">
    <vt:lpwstr>[Inherited - none]</vt:lpwstr>
  </property>
  <property fmtid="{D5CDD505-2E9C-101B-9397-08002B2CF9AE}" pid="19" name="Objective-Caveats">
    <vt:lpwstr/>
  </property>
</Properties>
</file>