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r>
        <w:rPr>
          <w:noProof/>
          <w:lang w:eastAsia="en-AU"/>
        </w:rPr>
        <w:drawing>
          <wp:inline distT="0" distB="0" distL="0" distR="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76338E" w:rsidP="001A0F23">
      <w:pPr>
        <w:pStyle w:val="FrontPageHeading"/>
        <w:spacing w:before="4200"/>
      </w:pPr>
      <w:r>
        <w:t>Society and Culture</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86686A">
      <w:pPr>
        <w:pStyle w:val="Heading1"/>
        <w:rPr>
          <w:lang w:val="en-US"/>
        </w:rPr>
      </w:pPr>
      <w:r>
        <w:lastRenderedPageBreak/>
        <w:t>Society and Culture</w:t>
      </w:r>
    </w:p>
    <w:p w:rsidR="00B1461F" w:rsidRDefault="00B1461F" w:rsidP="006047FB">
      <w:pPr>
        <w:pStyle w:val="Heading1"/>
      </w:pPr>
    </w:p>
    <w:p w:rsidR="001A0F23" w:rsidRDefault="001A0F23" w:rsidP="006047FB">
      <w:pPr>
        <w:pStyle w:val="Heading1"/>
      </w:pPr>
      <w:r>
        <w:t>201</w:t>
      </w:r>
      <w:r w:rsidR="00CD6252">
        <w:t>4</w:t>
      </w:r>
      <w:r>
        <w:t xml:space="preserve"> </w:t>
      </w:r>
      <w:r w:rsidR="00B1461F">
        <w:t>Chief Assessor’s Report</w:t>
      </w:r>
    </w:p>
    <w:p w:rsidR="001A0F23" w:rsidRPr="00DF42D8" w:rsidRDefault="00532959">
      <w:pPr>
        <w:pStyle w:val="Heading2"/>
      </w:pPr>
      <w:r>
        <w:t>Overview</w:t>
      </w:r>
    </w:p>
    <w:p w:rsidR="001A0F23" w:rsidRDefault="001A0F23" w:rsidP="00CE0106">
      <w:pPr>
        <w:pStyle w:val="BodyText1"/>
      </w:pPr>
      <w:r w:rsidRPr="000C3880">
        <w:t xml:space="preserve">Chief Assessors’ </w:t>
      </w:r>
      <w:r w:rsidRPr="00012027">
        <w:t xml:space="preserve">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w:t>
      </w:r>
      <w:r w:rsidRPr="00CE0106">
        <w:t>types</w:t>
      </w:r>
      <w:r w:rsidRPr="00012027">
        <w:t>, the application of the performance standards in school and external assessments, the quality of student performance, and any relevant statistical information.</w:t>
      </w:r>
    </w:p>
    <w:p w:rsidR="0086686A" w:rsidRDefault="0086686A" w:rsidP="0086686A">
      <w:pPr>
        <w:pStyle w:val="BodyText1"/>
      </w:pPr>
      <w:r>
        <w:t>In 2014 the number of students enrolled in Society and Culture increased slightly, especially in the 10-</w:t>
      </w:r>
      <w:r w:rsidR="00AC5028">
        <w:t>c</w:t>
      </w:r>
      <w:r>
        <w:t xml:space="preserve">redit course, and it was pleasing to see the quality of the work submitted was again excellent; students continue to exhibit a strong engagement with significant and contemporary social and cultural issues and topics. The achievement of students in school assessment was largely consistent with that of previous years. It is clear that most teachers understand </w:t>
      </w:r>
      <w:r w:rsidR="00AB46DE">
        <w:t xml:space="preserve">the performance standards </w:t>
      </w:r>
      <w:r>
        <w:t>and are able to apply</w:t>
      </w:r>
      <w:r w:rsidR="00AB46DE">
        <w:t xml:space="preserve"> them</w:t>
      </w:r>
      <w:r>
        <w:t xml:space="preserve"> with confidence.</w:t>
      </w:r>
    </w:p>
    <w:p w:rsidR="0086686A" w:rsidRDefault="0086686A" w:rsidP="0086686A">
      <w:pPr>
        <w:pStyle w:val="BodyText1"/>
      </w:pPr>
      <w:r>
        <w:t xml:space="preserve">Overall, moderators were pleased to note that teachers had structured their tasks to cater for a wide variety of student abilities and interests, and endeavoured to maximise students’ success. Evidence </w:t>
      </w:r>
      <w:proofErr w:type="gramStart"/>
      <w:r>
        <w:t>was provided</w:t>
      </w:r>
      <w:proofErr w:type="gramEnd"/>
      <w:r>
        <w:t xml:space="preserve"> against the performance standards in a variety of formats </w:t>
      </w:r>
      <w:r w:rsidR="00AB46DE">
        <w:t>—</w:t>
      </w:r>
      <w:r>
        <w:t xml:space="preserve"> written, oral</w:t>
      </w:r>
      <w:r w:rsidR="00AB46DE">
        <w:t>,</w:t>
      </w:r>
      <w:r>
        <w:t xml:space="preserve"> and multimodal </w:t>
      </w:r>
      <w:r w:rsidR="004F4A4E">
        <w:t>—</w:t>
      </w:r>
      <w:r w:rsidR="00AC5028">
        <w:t xml:space="preserve"> however, </w:t>
      </w:r>
      <w:r>
        <w:t xml:space="preserve">the most popular remained written folio tasks. While teachers are encouraged to give students choice where possible, it </w:t>
      </w:r>
      <w:proofErr w:type="gramStart"/>
      <w:r>
        <w:t>is recommended</w:t>
      </w:r>
      <w:proofErr w:type="gramEnd"/>
      <w:r>
        <w:t xml:space="preserve"> that clear guidelines are set so that students achieve the best outcomes possible.</w:t>
      </w:r>
    </w:p>
    <w:p w:rsidR="0086686A" w:rsidRDefault="0086686A" w:rsidP="0086686A">
      <w:pPr>
        <w:pStyle w:val="BodyText1"/>
      </w:pPr>
      <w:r>
        <w:t xml:space="preserve">Moderators were pleased </w:t>
      </w:r>
      <w:r w:rsidR="004F4A4E">
        <w:t>with</w:t>
      </w:r>
      <w:r>
        <w:t xml:space="preserve"> the generally high standard of packaging of materials for moderation</w:t>
      </w:r>
      <w:r w:rsidR="004F4A4E">
        <w:t>;</w:t>
      </w:r>
      <w:r>
        <w:t xml:space="preserve"> however</w:t>
      </w:r>
      <w:r w:rsidR="004F4A4E">
        <w:t>,</w:t>
      </w:r>
      <w:r>
        <w:t xml:space="preserve"> teachers </w:t>
      </w:r>
      <w:proofErr w:type="gramStart"/>
      <w:r>
        <w:t>are reminded</w:t>
      </w:r>
      <w:proofErr w:type="gramEnd"/>
      <w:r>
        <w:t xml:space="preserve"> of the importance of including the assessment plan and</w:t>
      </w:r>
      <w:r w:rsidR="0095599F">
        <w:t xml:space="preserve"> set of task sheets</w:t>
      </w:r>
      <w:r>
        <w:t xml:space="preserve">. Because the main aim of moderation is to confirm teachers’ judgments, the inclusion of materials indicating how teachers have reached their assessment decisions makes this process much more straightforward. It is also most helpful if students’ work is clearly marked with students’ names </w:t>
      </w:r>
      <w:r w:rsidR="0095599F">
        <w:t xml:space="preserve">or </w:t>
      </w:r>
      <w:r>
        <w:t>SACE registration number</w:t>
      </w:r>
      <w:r w:rsidR="004F4A4E">
        <w:t>s</w:t>
      </w:r>
      <w:r>
        <w:t>.</w:t>
      </w:r>
    </w:p>
    <w:p w:rsidR="001A0F23" w:rsidRDefault="00532959">
      <w:pPr>
        <w:pStyle w:val="Heading2"/>
      </w:pPr>
      <w:r>
        <w:t>School Assessment</w:t>
      </w:r>
    </w:p>
    <w:p w:rsidR="001A0F23" w:rsidRPr="00CD32DE" w:rsidRDefault="001A0F23" w:rsidP="001A0F23">
      <w:pPr>
        <w:pStyle w:val="AssessmentTypeHeading"/>
      </w:pPr>
      <w:r w:rsidRPr="00CD32DE">
        <w:t xml:space="preserve">Assessment Type 1: </w:t>
      </w:r>
      <w:r w:rsidR="0076338E">
        <w:t>Folio</w:t>
      </w:r>
    </w:p>
    <w:p w:rsidR="00A8556E" w:rsidRDefault="00E56900" w:rsidP="001A0F23">
      <w:pPr>
        <w:pStyle w:val="BodyText1"/>
      </w:pPr>
      <w:r>
        <w:t xml:space="preserve">Most students submitted four </w:t>
      </w:r>
      <w:r w:rsidR="00AF5A79">
        <w:t xml:space="preserve">written </w:t>
      </w:r>
      <w:r>
        <w:t xml:space="preserve">tasks for the </w:t>
      </w:r>
      <w:r w:rsidR="006829DB">
        <w:t>f</w:t>
      </w:r>
      <w:r>
        <w:t>olio assessment type</w:t>
      </w:r>
      <w:r w:rsidR="00AF5A79">
        <w:t>.</w:t>
      </w:r>
      <w:r w:rsidR="00D53CCB">
        <w:t xml:space="preserve"> Reports</w:t>
      </w:r>
      <w:r w:rsidR="007E5E74">
        <w:t xml:space="preserve"> </w:t>
      </w:r>
      <w:r w:rsidR="00D53CCB">
        <w:t xml:space="preserve">and tasks with several parts were the most </w:t>
      </w:r>
      <w:r w:rsidR="00AF5A79">
        <w:t>common</w:t>
      </w:r>
      <w:r w:rsidR="00D53CCB">
        <w:t xml:space="preserve"> response types. </w:t>
      </w:r>
      <w:r w:rsidR="00D729DE">
        <w:t>A number of folios contained similar tasks</w:t>
      </w:r>
      <w:r w:rsidR="004F4A4E">
        <w:t>,</w:t>
      </w:r>
      <w:r w:rsidR="00D729DE">
        <w:t xml:space="preserve"> and moderators noted an over</w:t>
      </w:r>
      <w:r w:rsidR="004F4A4E">
        <w:t>-</w:t>
      </w:r>
      <w:r w:rsidR="00D729DE">
        <w:t xml:space="preserve">reliance on essays in some student folios. Students who had undertaken a variety of task and response types </w:t>
      </w:r>
      <w:proofErr w:type="gramStart"/>
      <w:r w:rsidR="00D729DE">
        <w:t>were generally advantaged</w:t>
      </w:r>
      <w:proofErr w:type="gramEnd"/>
      <w:r w:rsidR="00D729DE">
        <w:t>.</w:t>
      </w:r>
      <w:r w:rsidR="00AB46DE">
        <w:t xml:space="preserve"> </w:t>
      </w:r>
      <w:r w:rsidR="00D53CCB">
        <w:t xml:space="preserve">Moderators noted that </w:t>
      </w:r>
      <w:r w:rsidR="00AF5A79">
        <w:t>most tasks</w:t>
      </w:r>
      <w:r w:rsidR="00D53CCB">
        <w:t xml:space="preserve"> addressed contemporary social and cultural issues and provided opportunities for students to demonstrate achievement at all grade bands. Task design varied in quality and in </w:t>
      </w:r>
      <w:r w:rsidR="00AF5A79">
        <w:t xml:space="preserve">several </w:t>
      </w:r>
      <w:r w:rsidR="00D53CCB">
        <w:t>cases prevented students from achieving at higher grade bands</w:t>
      </w:r>
      <w:r w:rsidR="004F4A4E">
        <w:t>;</w:t>
      </w:r>
      <w:r w:rsidR="00D53CCB">
        <w:t xml:space="preserve"> for example</w:t>
      </w:r>
      <w:r w:rsidR="004F4A4E">
        <w:t>,</w:t>
      </w:r>
      <w:r w:rsidR="00D53CCB">
        <w:t xml:space="preserve"> tasks which </w:t>
      </w:r>
      <w:r w:rsidR="00AF5A79">
        <w:t>required students to research historical events</w:t>
      </w:r>
      <w:r w:rsidR="0033563A">
        <w:t xml:space="preserve"> or</w:t>
      </w:r>
      <w:r w:rsidR="00AF5A79">
        <w:t xml:space="preserve"> </w:t>
      </w:r>
      <w:r w:rsidR="0033563A">
        <w:t xml:space="preserve">to </w:t>
      </w:r>
      <w:r w:rsidR="007246B1">
        <w:t xml:space="preserve">complete </w:t>
      </w:r>
      <w:r w:rsidR="00AF5A79">
        <w:t>short</w:t>
      </w:r>
      <w:r w:rsidR="004F4A4E">
        <w:t>-</w:t>
      </w:r>
      <w:r w:rsidR="00AF5A79">
        <w:t xml:space="preserve">answer </w:t>
      </w:r>
      <w:r w:rsidR="00D53CCB">
        <w:t>tests</w:t>
      </w:r>
      <w:r w:rsidR="004F4A4E">
        <w:t>,</w:t>
      </w:r>
      <w:r w:rsidR="00D53CCB">
        <w:t xml:space="preserve"> and tasks which </w:t>
      </w:r>
      <w:proofErr w:type="gramStart"/>
      <w:r w:rsidR="00D53CCB">
        <w:t>were overly scaffolded</w:t>
      </w:r>
      <w:proofErr w:type="gramEnd"/>
      <w:r w:rsidR="00D53CCB">
        <w:t xml:space="preserve"> or addressed too many </w:t>
      </w:r>
      <w:r w:rsidR="00D53CCB">
        <w:lastRenderedPageBreak/>
        <w:t>assessment design criteria</w:t>
      </w:r>
      <w:r w:rsidR="007246B1">
        <w:t>.</w:t>
      </w:r>
      <w:r w:rsidR="004F4A4E">
        <w:t xml:space="preserve"> </w:t>
      </w:r>
      <w:r w:rsidR="008365E3">
        <w:t>T</w:t>
      </w:r>
      <w:r w:rsidR="00D729DE">
        <w:t xml:space="preserve">asks which </w:t>
      </w:r>
      <w:r w:rsidR="00A8556E">
        <w:t>featured</w:t>
      </w:r>
      <w:r w:rsidR="00D729DE">
        <w:t xml:space="preserve"> a good balance of s</w:t>
      </w:r>
      <w:r w:rsidR="008365E3">
        <w:t>caffolding</w:t>
      </w:r>
      <w:r w:rsidR="00D729DE">
        <w:t xml:space="preserve"> and choice </w:t>
      </w:r>
      <w:r w:rsidR="00A8556E">
        <w:t>advantaged students by encouraging creativity, originality</w:t>
      </w:r>
      <w:r w:rsidR="00BA3A0A">
        <w:t>,</w:t>
      </w:r>
      <w:r w:rsidR="00A8556E">
        <w:t xml:space="preserve"> and analytical depth.</w:t>
      </w:r>
    </w:p>
    <w:p w:rsidR="008E68C9" w:rsidRDefault="008E68C9" w:rsidP="001A0F23">
      <w:pPr>
        <w:pStyle w:val="BodyText1"/>
      </w:pPr>
      <w:r>
        <w:t>The most popular topics continue to be:</w:t>
      </w:r>
      <w:r>
        <w:rPr>
          <w:szCs w:val="22"/>
        </w:rPr>
        <w:t xml:space="preserve"> Cultural Diversity and Youth Culture from Group 1; Social Ethics and Technological Revolutions from Group 2; and A Question of Rights</w:t>
      </w:r>
      <w:r w:rsidR="0033563A">
        <w:rPr>
          <w:szCs w:val="22"/>
        </w:rPr>
        <w:t>,</w:t>
      </w:r>
      <w:r>
        <w:rPr>
          <w:szCs w:val="22"/>
        </w:rPr>
        <w:t xml:space="preserve"> and People and Power from Group 3. </w:t>
      </w:r>
      <w:r w:rsidRPr="00813868">
        <w:rPr>
          <w:szCs w:val="22"/>
        </w:rPr>
        <w:t>Within these topics, students engaged with contemporary social and cultural issues which were personally relevant,</w:t>
      </w:r>
      <w:r w:rsidR="00D53FD0" w:rsidRPr="00D53FD0">
        <w:rPr>
          <w:color w:val="FF0000"/>
          <w:szCs w:val="22"/>
        </w:rPr>
        <w:t xml:space="preserve"> </w:t>
      </w:r>
      <w:r w:rsidR="008365E3">
        <w:rPr>
          <w:szCs w:val="22"/>
        </w:rPr>
        <w:t xml:space="preserve">provided </w:t>
      </w:r>
      <w:r w:rsidRPr="00813868">
        <w:rPr>
          <w:szCs w:val="22"/>
        </w:rPr>
        <w:t>good access to information sources</w:t>
      </w:r>
      <w:r w:rsidR="00BA3A0A">
        <w:rPr>
          <w:szCs w:val="22"/>
        </w:rPr>
        <w:t>,</w:t>
      </w:r>
      <w:r w:rsidRPr="00813868">
        <w:rPr>
          <w:szCs w:val="22"/>
        </w:rPr>
        <w:t xml:space="preserve"> and </w:t>
      </w:r>
      <w:proofErr w:type="gramStart"/>
      <w:r w:rsidRPr="00813868">
        <w:rPr>
          <w:szCs w:val="22"/>
        </w:rPr>
        <w:t>were generally based</w:t>
      </w:r>
      <w:proofErr w:type="gramEnd"/>
      <w:r w:rsidRPr="00813868">
        <w:rPr>
          <w:szCs w:val="22"/>
        </w:rPr>
        <w:t xml:space="preserve"> within an Australian context.</w:t>
      </w:r>
    </w:p>
    <w:p w:rsidR="00736F69" w:rsidRDefault="003A4369" w:rsidP="001A0F23">
      <w:pPr>
        <w:pStyle w:val="BodyText1"/>
      </w:pPr>
      <w:r>
        <w:t xml:space="preserve">Students were most successful in their achievement within the </w:t>
      </w:r>
      <w:r w:rsidR="00E74550">
        <w:t>k</w:t>
      </w:r>
      <w:r>
        <w:t xml:space="preserve">nowledge and </w:t>
      </w:r>
      <w:r w:rsidR="00E74550">
        <w:t>u</w:t>
      </w:r>
      <w:r>
        <w:t>nderstanding criteri</w:t>
      </w:r>
      <w:r w:rsidR="00E74550">
        <w:t>on</w:t>
      </w:r>
      <w:r>
        <w:t xml:space="preserve">. </w:t>
      </w:r>
      <w:r w:rsidR="006442AE">
        <w:t xml:space="preserve">Students were </w:t>
      </w:r>
      <w:r w:rsidR="00C03CAA">
        <w:t>generally</w:t>
      </w:r>
      <w:r w:rsidR="006442AE">
        <w:t xml:space="preserve"> able to </w:t>
      </w:r>
      <w:r w:rsidR="00C03CAA">
        <w:t xml:space="preserve">identify and </w:t>
      </w:r>
      <w:r w:rsidR="006442AE">
        <w:t>understand the nature and causes of social change in relation to contemporary issues</w:t>
      </w:r>
      <w:r w:rsidR="00AF3475">
        <w:t xml:space="preserve">; students who </w:t>
      </w:r>
      <w:r w:rsidR="00D53FD0" w:rsidRPr="00D53FD0">
        <w:t>simply</w:t>
      </w:r>
      <w:r w:rsidR="00AB46DE">
        <w:t xml:space="preserve"> </w:t>
      </w:r>
      <w:r w:rsidR="00AF3475">
        <w:t>identif</w:t>
      </w:r>
      <w:r w:rsidR="0095599F">
        <w:t>ied</w:t>
      </w:r>
      <w:r w:rsidR="00AF3475">
        <w:t xml:space="preserve"> similarities and differences over time, for example</w:t>
      </w:r>
      <w:r w:rsidR="00F33C79">
        <w:t>,</w:t>
      </w:r>
      <w:r w:rsidR="00AF3475">
        <w:t xml:space="preserve"> in their consideration of the experiences of different generations, were less successful. </w:t>
      </w:r>
      <w:r w:rsidR="0095599F">
        <w:t xml:space="preserve">More successful </w:t>
      </w:r>
      <w:r w:rsidR="006442AE">
        <w:t xml:space="preserve">folios considered the interactions between </w:t>
      </w:r>
      <w:r w:rsidR="00736F69">
        <w:t xml:space="preserve">different groups within societies and the interconnections between different societies and cultures. </w:t>
      </w:r>
      <w:r w:rsidR="001F2DF1">
        <w:t xml:space="preserve">Students who were able to </w:t>
      </w:r>
      <w:r w:rsidR="00F33C79">
        <w:t xml:space="preserve">correctly </w:t>
      </w:r>
      <w:r w:rsidR="001F2DF1">
        <w:t xml:space="preserve">use terminology such as </w:t>
      </w:r>
      <w:r w:rsidR="00E74550">
        <w:t>‘</w:t>
      </w:r>
      <w:r w:rsidR="001F2DF1">
        <w:t>interdependence</w:t>
      </w:r>
      <w:r w:rsidR="00E74550">
        <w:t>’</w:t>
      </w:r>
      <w:r w:rsidR="001F2DF1">
        <w:t xml:space="preserve">, </w:t>
      </w:r>
      <w:r w:rsidR="00E74550">
        <w:t>‘</w:t>
      </w:r>
      <w:r w:rsidR="001F2DF1">
        <w:t>power structures</w:t>
      </w:r>
      <w:r w:rsidR="00E74550">
        <w:t>’</w:t>
      </w:r>
      <w:r w:rsidR="00F33C79">
        <w:t>,</w:t>
      </w:r>
      <w:r w:rsidR="001F2DF1">
        <w:t xml:space="preserve"> and </w:t>
      </w:r>
      <w:r w:rsidR="00E74550">
        <w:t>‘</w:t>
      </w:r>
      <w:r w:rsidR="001F2DF1">
        <w:t>social change</w:t>
      </w:r>
      <w:r w:rsidR="00E74550">
        <w:t>’</w:t>
      </w:r>
      <w:r w:rsidR="001F2DF1">
        <w:t xml:space="preserve"> were more able to demonstrate understanding and achievement at higher grade bands.</w:t>
      </w:r>
    </w:p>
    <w:p w:rsidR="003A4369" w:rsidRDefault="003A4369" w:rsidP="001A0F23">
      <w:pPr>
        <w:pStyle w:val="BodyText1"/>
      </w:pPr>
      <w:r>
        <w:t>Whil</w:t>
      </w:r>
      <w:r w:rsidR="00E74550">
        <w:t>e</w:t>
      </w:r>
      <w:r>
        <w:t xml:space="preserve"> many students conducted well-organised investigations into issues, a lack of </w:t>
      </w:r>
      <w:r w:rsidR="00D53FD0" w:rsidRPr="00D53FD0">
        <w:rPr>
          <w:i/>
        </w:rPr>
        <w:t xml:space="preserve">insightful </w:t>
      </w:r>
      <w:r>
        <w:t>analysis was evident in many folios</w:t>
      </w:r>
      <w:r w:rsidR="00E74550">
        <w:t>,</w:t>
      </w:r>
      <w:r w:rsidR="006442AE">
        <w:t xml:space="preserve"> which limited achievement in the higher grade band of the </w:t>
      </w:r>
      <w:r w:rsidR="00E74550">
        <w:t>i</w:t>
      </w:r>
      <w:r w:rsidR="006442AE">
        <w:t xml:space="preserve">nvestigation and </w:t>
      </w:r>
      <w:r w:rsidR="00E74550">
        <w:t>a</w:t>
      </w:r>
      <w:r w:rsidR="006442AE">
        <w:t>nalysis assessment design criteri</w:t>
      </w:r>
      <w:r w:rsidR="00E74550">
        <w:t>on</w:t>
      </w:r>
      <w:r w:rsidR="006442AE">
        <w:t>.</w:t>
      </w:r>
    </w:p>
    <w:p w:rsidR="008E68C9" w:rsidRDefault="008E68C9" w:rsidP="001A0F23">
      <w:pPr>
        <w:pStyle w:val="BodyText1"/>
      </w:pPr>
      <w:r>
        <w:t>Moderators commented that students displayed generally good evidence of research</w:t>
      </w:r>
      <w:r w:rsidR="00D3640A">
        <w:t>, including</w:t>
      </w:r>
      <w:r>
        <w:t xml:space="preserve"> referencing</w:t>
      </w:r>
      <w:r w:rsidR="007C5E80">
        <w:t xml:space="preserve"> skills, although there was general consensus among moderators that quite a number of students were relying too heavily on secondary sources to investigate issues. </w:t>
      </w:r>
      <w:r>
        <w:t xml:space="preserve">More successful </w:t>
      </w:r>
      <w:r w:rsidR="003C6BF9">
        <w:t xml:space="preserve">responses displayed an ability to </w:t>
      </w:r>
      <w:r w:rsidR="007C5E80">
        <w:t>analyse information from</w:t>
      </w:r>
      <w:r>
        <w:t xml:space="preserve"> a </w:t>
      </w:r>
      <w:r w:rsidR="007C5E80">
        <w:t xml:space="preserve">wide </w:t>
      </w:r>
      <w:r>
        <w:t xml:space="preserve">range of </w:t>
      </w:r>
      <w:r w:rsidR="007C5E80">
        <w:t xml:space="preserve">primary and secondary </w:t>
      </w:r>
      <w:r>
        <w:t>sources and perspectives, with the best responses also demonstrating</w:t>
      </w:r>
      <w:r w:rsidRPr="000F2E9A">
        <w:t xml:space="preserve"> </w:t>
      </w:r>
      <w:r w:rsidR="008365E3" w:rsidRPr="000F2E9A">
        <w:t xml:space="preserve">insightful </w:t>
      </w:r>
      <w:r>
        <w:t>evaluation of this evidence.</w:t>
      </w:r>
    </w:p>
    <w:p w:rsidR="00FB45F3" w:rsidRDefault="00FB45F3" w:rsidP="001A0F23">
      <w:pPr>
        <w:pStyle w:val="BodyText1"/>
      </w:pPr>
      <w:r>
        <w:t xml:space="preserve">Students generally produced between 1000 and 1500 words for written folio tasks. Moderators noted some instances of </w:t>
      </w:r>
      <w:r w:rsidR="001C2B7D">
        <w:t>low</w:t>
      </w:r>
      <w:r>
        <w:t xml:space="preserve"> word</w:t>
      </w:r>
      <w:r w:rsidR="00E74550">
        <w:t>-</w:t>
      </w:r>
      <w:r>
        <w:t xml:space="preserve">counts which limited student achievement. A </w:t>
      </w:r>
      <w:r w:rsidR="00FA7E7D">
        <w:t xml:space="preserve">small </w:t>
      </w:r>
      <w:r>
        <w:t xml:space="preserve">number of students completed oral tasks for the folio. The best evidence of oral tasks included transcripts and/or visual information (e.g. </w:t>
      </w:r>
      <w:r w:rsidR="001C2B7D">
        <w:t xml:space="preserve">copies of </w:t>
      </w:r>
      <w:r>
        <w:t xml:space="preserve">PowerPoint slides). </w:t>
      </w:r>
      <w:r w:rsidR="00FA7E7D">
        <w:t xml:space="preserve">In some instances, students completed group oral tasks for the </w:t>
      </w:r>
      <w:r w:rsidR="001C2B7D">
        <w:t>f</w:t>
      </w:r>
      <w:r w:rsidR="00FA7E7D">
        <w:t>olio component (</w:t>
      </w:r>
      <w:r w:rsidR="004F3764">
        <w:t>e.</w:t>
      </w:r>
      <w:r w:rsidR="00F33C79">
        <w:t>g</w:t>
      </w:r>
      <w:r w:rsidR="004F3764">
        <w:t>.</w:t>
      </w:r>
      <w:r w:rsidR="00FA7E7D">
        <w:t xml:space="preserve"> role plays)</w:t>
      </w:r>
      <w:r w:rsidR="001C2B7D">
        <w:t>;</w:t>
      </w:r>
      <w:r w:rsidR="00FA7E7D">
        <w:t xml:space="preserve"> however</w:t>
      </w:r>
      <w:r w:rsidR="001C2B7D">
        <w:t>,</w:t>
      </w:r>
      <w:r w:rsidR="00FA7E7D">
        <w:t xml:space="preserve"> it was often difficult for moderators to d</w:t>
      </w:r>
      <w:r w:rsidR="00E8695A">
        <w:t>iscern</w:t>
      </w:r>
      <w:r w:rsidR="00FA7E7D">
        <w:t xml:space="preserve"> evidence of individual achievement, particularly when no transcript </w:t>
      </w:r>
      <w:proofErr w:type="gramStart"/>
      <w:r w:rsidR="00FA7E7D">
        <w:t>was provided</w:t>
      </w:r>
      <w:proofErr w:type="gramEnd"/>
      <w:r w:rsidR="00FA7E7D">
        <w:t xml:space="preserve"> and when recordings did not identify individual students.</w:t>
      </w:r>
    </w:p>
    <w:p w:rsidR="001A0F23" w:rsidRPr="003C7581" w:rsidRDefault="001A0F23">
      <w:pPr>
        <w:pStyle w:val="AssessmentTypeHeading"/>
      </w:pPr>
      <w:r w:rsidRPr="003C7581">
        <w:t xml:space="preserve">Assessment Type 2: </w:t>
      </w:r>
      <w:r w:rsidR="0076338E">
        <w:t>Interaction</w:t>
      </w:r>
    </w:p>
    <w:p w:rsidR="00404FF6" w:rsidRDefault="00404FF6" w:rsidP="001A0F23">
      <w:pPr>
        <w:pStyle w:val="BodyText1"/>
      </w:pPr>
      <w:r>
        <w:t xml:space="preserve">Students undertake two tasks in the </w:t>
      </w:r>
      <w:r w:rsidR="001C2B7D">
        <w:t>i</w:t>
      </w:r>
      <w:r>
        <w:t>nteraction assessment type:</w:t>
      </w:r>
      <w:r w:rsidR="00AD5874">
        <w:t xml:space="preserve"> a group activity and an</w:t>
      </w:r>
      <w:r>
        <w:t xml:space="preserve"> individual oral </w:t>
      </w:r>
      <w:r w:rsidR="00AD5874">
        <w:t>activity.</w:t>
      </w:r>
    </w:p>
    <w:p w:rsidR="00F20763" w:rsidRDefault="00C6392E" w:rsidP="001A0F23">
      <w:pPr>
        <w:pStyle w:val="BodyText1"/>
      </w:pPr>
      <w:r>
        <w:t xml:space="preserve">Confirming </w:t>
      </w:r>
      <w:r w:rsidR="00F33C79">
        <w:t xml:space="preserve">the </w:t>
      </w:r>
      <w:r>
        <w:t xml:space="preserve">assessment decisions </w:t>
      </w:r>
      <w:r w:rsidR="00F33C79">
        <w:t xml:space="preserve">of teachers </w:t>
      </w:r>
      <w:r>
        <w:t>in relation to the group activity continues to present challenges for moderators</w:t>
      </w:r>
      <w:r w:rsidR="00997A70">
        <w:t>, with the main issues being the nature, quality</w:t>
      </w:r>
      <w:r w:rsidR="001C2B7D">
        <w:t>,</w:t>
      </w:r>
      <w:r w:rsidR="00997A70">
        <w:t xml:space="preserve"> and quantity of the evidence provided</w:t>
      </w:r>
      <w:r>
        <w:t>.</w:t>
      </w:r>
    </w:p>
    <w:p w:rsidR="00F20763" w:rsidRDefault="00F20763" w:rsidP="001A0F23">
      <w:pPr>
        <w:pStyle w:val="BodyText1"/>
      </w:pPr>
      <w:r>
        <w:t xml:space="preserve">In a number of cases, only the individual student evaluations </w:t>
      </w:r>
      <w:proofErr w:type="gramStart"/>
      <w:r>
        <w:t>were provided</w:t>
      </w:r>
      <w:proofErr w:type="gramEnd"/>
      <w:r>
        <w:t xml:space="preserve"> as evidence, making it difficult for moderators to observe evidence of achievement </w:t>
      </w:r>
      <w:r>
        <w:lastRenderedPageBreak/>
        <w:t xml:space="preserve">against all of the relevant assessment design criteria. </w:t>
      </w:r>
      <w:r w:rsidR="00997A70">
        <w:t>The packaging of material frequently made it difficult for moderators to locate evidence of the group activity</w:t>
      </w:r>
      <w:r w:rsidR="001C2B7D">
        <w:t>;</w:t>
      </w:r>
      <w:r w:rsidR="00997A70">
        <w:t xml:space="preserve"> for example</w:t>
      </w:r>
      <w:r w:rsidR="001C2B7D">
        <w:t>,</w:t>
      </w:r>
      <w:r w:rsidR="00997A70">
        <w:t xml:space="preserve"> where the work of an entire group (including individual student evaluations) was only located in</w:t>
      </w:r>
      <w:r w:rsidR="005F7520">
        <w:t xml:space="preserve"> one student’s package of work.</w:t>
      </w:r>
    </w:p>
    <w:p w:rsidR="00997A70" w:rsidRDefault="00F20763" w:rsidP="001A0F23">
      <w:pPr>
        <w:pStyle w:val="BodyText1"/>
      </w:pPr>
      <w:r>
        <w:t>T</w:t>
      </w:r>
      <w:r w:rsidR="00997A70">
        <w:t>he best evidence of the group activity included:</w:t>
      </w:r>
    </w:p>
    <w:p w:rsidR="00997465" w:rsidRDefault="001C2B7D">
      <w:pPr>
        <w:pStyle w:val="dotpoints"/>
        <w:spacing w:before="120" w:after="120"/>
        <w:ind w:left="357" w:hanging="357"/>
      </w:pPr>
      <w:r>
        <w:t>p</w:t>
      </w:r>
      <w:r w:rsidR="00997A70">
        <w:t xml:space="preserve">hotographs </w:t>
      </w:r>
      <w:r w:rsidR="00F33C79">
        <w:t>that</w:t>
      </w:r>
      <w:r w:rsidR="00997A70">
        <w:t xml:space="preserve"> clearly depicted the nature of the </w:t>
      </w:r>
      <w:r w:rsidR="0089070E">
        <w:t>social action</w:t>
      </w:r>
    </w:p>
    <w:p w:rsidR="00997465" w:rsidRDefault="001C2B7D">
      <w:pPr>
        <w:pStyle w:val="dotpoints"/>
        <w:spacing w:before="120" w:after="120"/>
        <w:ind w:left="357" w:hanging="357"/>
      </w:pPr>
      <w:r>
        <w:t>e</w:t>
      </w:r>
      <w:r w:rsidR="00997A70">
        <w:t>vidence produced by each member of the group that clearly outlined the contributions of each group member (</w:t>
      </w:r>
      <w:r>
        <w:t>e.g.</w:t>
      </w:r>
      <w:r w:rsidR="0089070E">
        <w:t xml:space="preserve"> </w:t>
      </w:r>
      <w:r w:rsidR="00997A70">
        <w:t>record sheets, journals, notes)</w:t>
      </w:r>
    </w:p>
    <w:p w:rsidR="00997465" w:rsidRDefault="001C2B7D">
      <w:pPr>
        <w:pStyle w:val="dotpoints"/>
        <w:spacing w:before="120" w:after="120"/>
        <w:ind w:left="357" w:hanging="357"/>
      </w:pPr>
      <w:r>
        <w:t>g</w:t>
      </w:r>
      <w:r w:rsidR="00E17653">
        <w:t>ood</w:t>
      </w:r>
      <w:r>
        <w:t>-</w:t>
      </w:r>
      <w:r w:rsidR="00E17653">
        <w:t>quality r</w:t>
      </w:r>
      <w:r w:rsidR="00AD5874">
        <w:t>ecordings, when included, that clearly identified each student (</w:t>
      </w:r>
      <w:r>
        <w:t>e.g.</w:t>
      </w:r>
      <w:r w:rsidR="00AD5874">
        <w:t xml:space="preserve"> </w:t>
      </w:r>
      <w:r w:rsidR="00F20763">
        <w:t>students introducing</w:t>
      </w:r>
      <w:r w:rsidR="00AD5874">
        <w:t xml:space="preserve"> themselves, file name</w:t>
      </w:r>
      <w:r w:rsidR="008365E3">
        <w:t>s</w:t>
      </w:r>
      <w:r w:rsidR="00AD5874">
        <w:t xml:space="preserve"> identif</w:t>
      </w:r>
      <w:r w:rsidR="00F20763">
        <w:t>ying</w:t>
      </w:r>
      <w:r w:rsidR="00AD5874">
        <w:t xml:space="preserve"> students, </w:t>
      </w:r>
      <w:r w:rsidR="00F20763">
        <w:t xml:space="preserve">names written on the DVD envelope, </w:t>
      </w:r>
      <w:r w:rsidR="00AD5874">
        <w:t>photographs of students)</w:t>
      </w:r>
    </w:p>
    <w:p w:rsidR="00997465" w:rsidRDefault="001C2B7D">
      <w:pPr>
        <w:pStyle w:val="dotpoints"/>
        <w:spacing w:before="120" w:after="120"/>
        <w:ind w:left="357" w:hanging="357"/>
      </w:pPr>
      <w:r>
        <w:t>t</w:t>
      </w:r>
      <w:r w:rsidR="00AD5874">
        <w:t>ranscripts of group collaborative evaluations</w:t>
      </w:r>
      <w:r w:rsidR="00BF6F64">
        <w:t xml:space="preserve">, </w:t>
      </w:r>
      <w:r w:rsidR="00AD5874">
        <w:t>debrief</w:t>
      </w:r>
      <w:r w:rsidR="00BF6F64">
        <w:t xml:space="preserve">ing, or </w:t>
      </w:r>
      <w:r w:rsidR="00AD5874">
        <w:t>round</w:t>
      </w:r>
      <w:r w:rsidR="00BF6F64">
        <w:t>-</w:t>
      </w:r>
      <w:r w:rsidR="00AD5874">
        <w:t>table discussions, clearly indicating the contribution of individual group members</w:t>
      </w:r>
    </w:p>
    <w:p w:rsidR="00997465" w:rsidRDefault="00BF6F64">
      <w:pPr>
        <w:pStyle w:val="dotpoints"/>
        <w:spacing w:before="120" w:after="120"/>
        <w:ind w:left="357" w:hanging="357"/>
      </w:pPr>
      <w:r>
        <w:t>e</w:t>
      </w:r>
      <w:r w:rsidR="007721D9">
        <w:t xml:space="preserve">vidence </w:t>
      </w:r>
      <w:r>
        <w:t>that</w:t>
      </w:r>
      <w:r w:rsidR="007721D9">
        <w:t xml:space="preserve"> demonstrated </w:t>
      </w:r>
      <w:r w:rsidR="00C04277">
        <w:t>inquiry into a social issue</w:t>
      </w:r>
    </w:p>
    <w:p w:rsidR="00997465" w:rsidRDefault="00BF6F64">
      <w:pPr>
        <w:pStyle w:val="dotpoints"/>
        <w:spacing w:before="120" w:after="120"/>
        <w:ind w:left="357" w:hanging="357"/>
      </w:pPr>
      <w:r>
        <w:t>e</w:t>
      </w:r>
      <w:r w:rsidR="00C04277">
        <w:t xml:space="preserve">vidence </w:t>
      </w:r>
      <w:r>
        <w:t>that</w:t>
      </w:r>
      <w:r w:rsidR="00C04277">
        <w:t xml:space="preserve"> demonstrated knowledge and understanding of a social issue</w:t>
      </w:r>
    </w:p>
    <w:p w:rsidR="00997465" w:rsidRDefault="00BF6F64">
      <w:pPr>
        <w:pStyle w:val="dotpoints"/>
        <w:spacing w:before="120" w:after="120"/>
        <w:ind w:left="357" w:hanging="357"/>
      </w:pPr>
      <w:proofErr w:type="gramStart"/>
      <w:r>
        <w:t>e</w:t>
      </w:r>
      <w:r w:rsidR="0072542B">
        <w:t>vidence</w:t>
      </w:r>
      <w:proofErr w:type="gramEnd"/>
      <w:r w:rsidR="0072542B">
        <w:t xml:space="preserve"> of s</w:t>
      </w:r>
      <w:r w:rsidR="00F20763">
        <w:t xml:space="preserve">ocial </w:t>
      </w:r>
      <w:r w:rsidR="007721D9">
        <w:t xml:space="preserve">action </w:t>
      </w:r>
      <w:r>
        <w:t>that</w:t>
      </w:r>
      <w:r w:rsidR="007721D9">
        <w:t xml:space="preserve"> was relevant or in some way linked to the social issue investigated.</w:t>
      </w:r>
    </w:p>
    <w:p w:rsidR="00AD5874" w:rsidRPr="00974F61" w:rsidRDefault="007721D9" w:rsidP="001A0F23">
      <w:pPr>
        <w:pStyle w:val="BodyText1"/>
      </w:pPr>
      <w:r w:rsidRPr="00974F61">
        <w:t>Good ex</w:t>
      </w:r>
      <w:r w:rsidR="00D77AEB" w:rsidRPr="00974F61">
        <w:t>amples of social action included whole</w:t>
      </w:r>
      <w:r w:rsidR="00BF6F64">
        <w:t>-</w:t>
      </w:r>
      <w:r w:rsidR="00D77AEB" w:rsidRPr="00974F61">
        <w:t xml:space="preserve">school awareness and fund-raising activities </w:t>
      </w:r>
      <w:r w:rsidR="00D53FD0" w:rsidRPr="00D53FD0">
        <w:t xml:space="preserve">related to </w:t>
      </w:r>
      <w:r w:rsidR="00974F61">
        <w:t>human</w:t>
      </w:r>
      <w:r w:rsidR="00BF6F64">
        <w:t>-</w:t>
      </w:r>
      <w:r w:rsidR="00974F61">
        <w:t>rights issues;</w:t>
      </w:r>
      <w:r w:rsidR="00D77AEB" w:rsidRPr="00974F61">
        <w:t xml:space="preserve"> preparation of a museum display</w:t>
      </w:r>
      <w:r w:rsidR="00974F61">
        <w:t xml:space="preserve"> depicting issues connected with refugees and asylum</w:t>
      </w:r>
      <w:r w:rsidR="0064688D">
        <w:t>-</w:t>
      </w:r>
      <w:r w:rsidR="00974F61">
        <w:t>seekers;</w:t>
      </w:r>
      <w:r w:rsidR="00D77AEB" w:rsidRPr="00974F61">
        <w:t xml:space="preserve"> </w:t>
      </w:r>
      <w:r w:rsidR="001D04DD">
        <w:t xml:space="preserve">creation of a Facebook page; </w:t>
      </w:r>
      <w:r w:rsidR="00D77AEB" w:rsidRPr="00974F61">
        <w:t xml:space="preserve">and </w:t>
      </w:r>
      <w:r w:rsidR="001D04DD">
        <w:t xml:space="preserve">informative presentations to </w:t>
      </w:r>
      <w:r w:rsidR="00D77AEB" w:rsidRPr="00974F61">
        <w:t xml:space="preserve">other students. </w:t>
      </w:r>
      <w:r w:rsidR="00974F61">
        <w:t>Student achievement was limited where social action was restricted to</w:t>
      </w:r>
      <w:r w:rsidR="008365E3">
        <w:t>, for example,</w:t>
      </w:r>
      <w:r w:rsidR="00974F61">
        <w:t xml:space="preserve"> </w:t>
      </w:r>
      <w:r w:rsidR="00F33C79">
        <w:t>creating</w:t>
      </w:r>
      <w:r w:rsidR="00974F61">
        <w:t xml:space="preserve"> a poster. In some instances, it was unclear to moderators what, if any, social action had occurred.</w:t>
      </w:r>
    </w:p>
    <w:p w:rsidR="00777766" w:rsidRDefault="00777766" w:rsidP="001A0F23">
      <w:pPr>
        <w:pStyle w:val="BodyText1"/>
      </w:pPr>
      <w:r>
        <w:t xml:space="preserve">Most student packages contained a recording of an oral activity, with the quality of these recordings varying in quality. Transcripts of oral presentation, together with PowerPoint slides or other material, provided </w:t>
      </w:r>
      <w:r w:rsidR="007E5E74">
        <w:t>the best</w:t>
      </w:r>
      <w:r>
        <w:t xml:space="preserve"> evidence for moderators to confirm assessment decisions.</w:t>
      </w:r>
    </w:p>
    <w:p w:rsidR="00974F61" w:rsidRDefault="00974F61" w:rsidP="001A0F23">
      <w:pPr>
        <w:pStyle w:val="BodyText1"/>
      </w:pPr>
      <w:r>
        <w:t>Role plays which contained basic discussion tended to restrict students from</w:t>
      </w:r>
      <w:r w:rsidR="008365E3">
        <w:t xml:space="preserve"> demonstrating achievement </w:t>
      </w:r>
      <w:r w:rsidR="00BF6F64">
        <w:t>against</w:t>
      </w:r>
      <w:r w:rsidR="008365E3">
        <w:t xml:space="preserve"> the </w:t>
      </w:r>
      <w:r w:rsidR="00BF6F64">
        <w:t>i</w:t>
      </w:r>
      <w:r w:rsidR="000F2E9A">
        <w:t xml:space="preserve">nvestigation and </w:t>
      </w:r>
      <w:r w:rsidR="00BF6F64">
        <w:t>a</w:t>
      </w:r>
      <w:r>
        <w:t>nalysis</w:t>
      </w:r>
      <w:r w:rsidR="00BF6F64">
        <w:t>,</w:t>
      </w:r>
      <w:r>
        <w:t xml:space="preserve"> and </w:t>
      </w:r>
      <w:r w:rsidR="00BF6F64">
        <w:t>k</w:t>
      </w:r>
      <w:r w:rsidR="001D04DD">
        <w:t xml:space="preserve">nowledge </w:t>
      </w:r>
      <w:r w:rsidR="008365E3">
        <w:t xml:space="preserve">and </w:t>
      </w:r>
      <w:r w:rsidR="00BF6F64">
        <w:t>u</w:t>
      </w:r>
      <w:r w:rsidR="001D04DD">
        <w:t>nderstanding</w:t>
      </w:r>
      <w:r w:rsidR="008365E3">
        <w:t xml:space="preserve"> criteria</w:t>
      </w:r>
      <w:r w:rsidR="001D04DD">
        <w:t xml:space="preserve"> in the</w:t>
      </w:r>
      <w:r>
        <w:t xml:space="preserve"> high</w:t>
      </w:r>
      <w:r w:rsidR="001D04DD">
        <w:t>er</w:t>
      </w:r>
      <w:r>
        <w:t xml:space="preserve"> grade bands</w:t>
      </w:r>
      <w:r w:rsidR="001D04DD">
        <w:t>.</w:t>
      </w:r>
    </w:p>
    <w:p w:rsidR="0026523E" w:rsidRDefault="00777766" w:rsidP="001A0F23">
      <w:pPr>
        <w:pStyle w:val="BodyText1"/>
      </w:pPr>
      <w:r>
        <w:t xml:space="preserve">In some instances, it was clear that students had been required to complete an oral activity </w:t>
      </w:r>
      <w:r w:rsidR="007E5E74">
        <w:t>based on</w:t>
      </w:r>
      <w:r>
        <w:t xml:space="preserve"> a folio task; this created some con</w:t>
      </w:r>
      <w:r w:rsidR="0026523E">
        <w:t>fusion, particularly when task sheets did not specify the assessment type.</w:t>
      </w:r>
    </w:p>
    <w:p w:rsidR="0026523E" w:rsidRDefault="006A38C6" w:rsidP="001A0F23">
      <w:pPr>
        <w:pStyle w:val="BodyText1"/>
      </w:pPr>
      <w:r>
        <w:t xml:space="preserve">Moderators noted that </w:t>
      </w:r>
      <w:proofErr w:type="gramStart"/>
      <w:r>
        <w:t>the</w:t>
      </w:r>
      <w:r w:rsidR="008365E3">
        <w:t xml:space="preserve"> maximum </w:t>
      </w:r>
      <w:r>
        <w:t>time</w:t>
      </w:r>
      <w:r w:rsidR="00BF6F64">
        <w:t>-</w:t>
      </w:r>
      <w:r>
        <w:t xml:space="preserve">limit of 5 minutes for the oral activity had been exceeded by </w:t>
      </w:r>
      <w:r w:rsidR="004B79D1">
        <w:t xml:space="preserve">a number of </w:t>
      </w:r>
      <w:r>
        <w:t>students</w:t>
      </w:r>
      <w:proofErr w:type="gramEnd"/>
      <w:r w:rsidR="00BF6F64">
        <w:t>.</w:t>
      </w:r>
    </w:p>
    <w:p w:rsidR="00BE1B84" w:rsidRDefault="00BE1B84">
      <w:pPr>
        <w:rPr>
          <w:rFonts w:ascii="Arial Bold" w:hAnsi="Arial Bold"/>
          <w:b/>
          <w:sz w:val="28"/>
        </w:rPr>
      </w:pPr>
      <w:r>
        <w:br w:type="page"/>
      </w:r>
    </w:p>
    <w:p w:rsidR="001A0F23" w:rsidRPr="006E51DA" w:rsidRDefault="00532959">
      <w:pPr>
        <w:pStyle w:val="Heading2"/>
      </w:pPr>
      <w:r w:rsidRPr="006E51DA">
        <w:lastRenderedPageBreak/>
        <w:t>External Assessment</w:t>
      </w:r>
    </w:p>
    <w:p w:rsidR="001A0F23" w:rsidRDefault="001A0F23">
      <w:pPr>
        <w:pStyle w:val="AssessmentTypeHeading"/>
      </w:pPr>
      <w:r w:rsidRPr="00D108CB">
        <w:t xml:space="preserve">Assessment Type </w:t>
      </w:r>
      <w:r w:rsidR="00AB46DE">
        <w:t>3</w:t>
      </w:r>
      <w:r w:rsidRPr="00D108CB">
        <w:t xml:space="preserve">: </w:t>
      </w:r>
      <w:r w:rsidR="0086686A">
        <w:t>Investigation</w:t>
      </w:r>
    </w:p>
    <w:p w:rsidR="00997465" w:rsidRDefault="0086686A">
      <w:pPr>
        <w:pStyle w:val="BodyText1"/>
      </w:pPr>
      <w:r>
        <w:t xml:space="preserve">The overall standard of </w:t>
      </w:r>
      <w:r w:rsidR="00BF6F64">
        <w:t>i</w:t>
      </w:r>
      <w:r>
        <w:t xml:space="preserve">nvestigations in 2014 was consistent with that of previous years. The most successful </w:t>
      </w:r>
      <w:r w:rsidR="00F33C79">
        <w:t xml:space="preserve">investigations </w:t>
      </w:r>
      <w:r>
        <w:t>featured:</w:t>
      </w:r>
    </w:p>
    <w:p w:rsidR="00997465" w:rsidRDefault="0086686A">
      <w:pPr>
        <w:pStyle w:val="dotpoints"/>
        <w:numPr>
          <w:ilvl w:val="0"/>
          <w:numId w:val="21"/>
        </w:numPr>
        <w:spacing w:before="120" w:after="120"/>
        <w:ind w:left="357" w:hanging="357"/>
      </w:pPr>
      <w:r>
        <w:t>effective analysis of a range of sources and perspectives</w:t>
      </w:r>
    </w:p>
    <w:p w:rsidR="00997465" w:rsidRDefault="0086686A">
      <w:pPr>
        <w:pStyle w:val="dotpoints"/>
        <w:numPr>
          <w:ilvl w:val="0"/>
          <w:numId w:val="21"/>
        </w:numPr>
        <w:spacing w:before="120" w:after="120"/>
        <w:ind w:left="357" w:hanging="357"/>
      </w:pPr>
      <w:r>
        <w:t>a focus on current and/or controversial social issues</w:t>
      </w:r>
    </w:p>
    <w:p w:rsidR="00997465" w:rsidRDefault="0086686A">
      <w:pPr>
        <w:pStyle w:val="dotpoints"/>
        <w:numPr>
          <w:ilvl w:val="0"/>
          <w:numId w:val="21"/>
        </w:numPr>
        <w:spacing w:before="120" w:after="120"/>
        <w:ind w:left="357" w:hanging="357"/>
      </w:pPr>
      <w:r>
        <w:t>adherence to the structure suggested in the current subject outline</w:t>
      </w:r>
    </w:p>
    <w:p w:rsidR="00997465" w:rsidRDefault="0086686A">
      <w:pPr>
        <w:pStyle w:val="dotpoints"/>
        <w:numPr>
          <w:ilvl w:val="0"/>
          <w:numId w:val="21"/>
        </w:numPr>
        <w:spacing w:before="120" w:after="120"/>
        <w:ind w:left="357" w:hanging="357"/>
      </w:pPr>
      <w:proofErr w:type="gramStart"/>
      <w:r>
        <w:t>the</w:t>
      </w:r>
      <w:proofErr w:type="gramEnd"/>
      <w:r>
        <w:t xml:space="preserve"> use of consistent referencing</w:t>
      </w:r>
      <w:r w:rsidR="00BF6F64">
        <w:t>.</w:t>
      </w:r>
    </w:p>
    <w:p w:rsidR="00997465" w:rsidRDefault="0086686A">
      <w:pPr>
        <w:pStyle w:val="BodyText1"/>
      </w:pPr>
      <w:r>
        <w:t>Markers commented that students were successful when teachers had supported them to understand and use the skills of social inquiry. Students should also be encouraged to draft and edit their investigation</w:t>
      </w:r>
      <w:r w:rsidR="00BF6F64">
        <w:t>s</w:t>
      </w:r>
      <w:r>
        <w:t>.</w:t>
      </w:r>
    </w:p>
    <w:p w:rsidR="00997465" w:rsidRDefault="0086686A">
      <w:pPr>
        <w:pStyle w:val="BodyText1"/>
      </w:pPr>
      <w:r>
        <w:t xml:space="preserve">As in previous years, </w:t>
      </w:r>
      <w:proofErr w:type="gramStart"/>
      <w:r>
        <w:t>a wide and interesting variety of investigation topics w</w:t>
      </w:r>
      <w:r w:rsidR="004B79D1">
        <w:t>as</w:t>
      </w:r>
      <w:r>
        <w:t xml:space="preserve"> selected by students</w:t>
      </w:r>
      <w:proofErr w:type="gramEnd"/>
      <w:r>
        <w:t xml:space="preserve">, the majority featuring contentious issues in Australian society. While some perennial favourites again appeared, such as child obesity and cyber-bullying, popular topics were also prompted by recent political decisions, such as the federal government’s proposed GP co-payment and changes to </w:t>
      </w:r>
      <w:r w:rsidR="00B62F1B">
        <w:t>benefits</w:t>
      </w:r>
      <w:r>
        <w:t xml:space="preserve"> for </w:t>
      </w:r>
      <w:r w:rsidR="00BF6F64">
        <w:t xml:space="preserve">unemployed </w:t>
      </w:r>
      <w:r>
        <w:t>youth, or the state government’s changes to P</w:t>
      </w:r>
      <w:r w:rsidR="00F33C79">
        <w:noBreakHyphen/>
      </w:r>
      <w:r>
        <w:t xml:space="preserve">plate regulations. Students may have been attracted to such issues because they appear to work against the interests of young people, and consequently </w:t>
      </w:r>
      <w:proofErr w:type="gramStart"/>
      <w:r>
        <w:t>may have easily been drawn</w:t>
      </w:r>
      <w:proofErr w:type="gramEnd"/>
      <w:r>
        <w:t xml:space="preserve"> into a report that presented only a limited viewpoint. On the other hand, such topics resulted in successful investigations when the hypothesis or guiding question </w:t>
      </w:r>
      <w:proofErr w:type="gramStart"/>
      <w:r>
        <w:t>was clear and well</w:t>
      </w:r>
      <w:r w:rsidR="00BF6F64">
        <w:t xml:space="preserve"> </w:t>
      </w:r>
      <w:r>
        <w:t>focused, and led to analysis and evaluation from a variety of perspectives</w:t>
      </w:r>
      <w:proofErr w:type="gramEnd"/>
      <w:r>
        <w:t>.</w:t>
      </w:r>
    </w:p>
    <w:p w:rsidR="00997465" w:rsidRDefault="0086686A">
      <w:pPr>
        <w:pStyle w:val="BodyText1"/>
      </w:pPr>
      <w:r>
        <w:t xml:space="preserve">Local topics, or topics recently in public debate and the media, led to the most successful and most interesting investigations. Examples </w:t>
      </w:r>
      <w:proofErr w:type="gramStart"/>
      <w:r>
        <w:t>were based</w:t>
      </w:r>
      <w:proofErr w:type="gramEnd"/>
      <w:r>
        <w:t xml:space="preserve"> on issues such as:</w:t>
      </w:r>
    </w:p>
    <w:p w:rsidR="00997465" w:rsidRDefault="0086686A">
      <w:pPr>
        <w:pStyle w:val="dotpoints"/>
        <w:numPr>
          <w:ilvl w:val="0"/>
          <w:numId w:val="22"/>
        </w:numPr>
        <w:spacing w:before="120" w:after="120"/>
        <w:ind w:left="357" w:hanging="357"/>
      </w:pPr>
      <w:r>
        <w:t>attitudes towards refugees</w:t>
      </w:r>
      <w:r w:rsidR="00B62F1B">
        <w:t xml:space="preserve"> or </w:t>
      </w:r>
      <w:r>
        <w:t>asylum</w:t>
      </w:r>
      <w:r w:rsidR="00B62F1B">
        <w:t>-</w:t>
      </w:r>
      <w:r>
        <w:t>seekers</w:t>
      </w:r>
    </w:p>
    <w:p w:rsidR="00997465" w:rsidRDefault="0086686A">
      <w:pPr>
        <w:pStyle w:val="dotpoints"/>
        <w:numPr>
          <w:ilvl w:val="0"/>
          <w:numId w:val="22"/>
        </w:numPr>
        <w:spacing w:before="120" w:after="120"/>
        <w:ind w:left="357" w:hanging="357"/>
      </w:pPr>
      <w:r>
        <w:t>the legalisation of medical marijuana</w:t>
      </w:r>
    </w:p>
    <w:p w:rsidR="00997465" w:rsidRDefault="0086686A">
      <w:pPr>
        <w:pStyle w:val="dotpoints"/>
        <w:numPr>
          <w:ilvl w:val="0"/>
          <w:numId w:val="22"/>
        </w:numPr>
        <w:spacing w:before="120" w:after="120"/>
        <w:ind w:left="357" w:hanging="357"/>
      </w:pPr>
      <w:r>
        <w:t>shark</w:t>
      </w:r>
      <w:r w:rsidR="0064688D">
        <w:t>-</w:t>
      </w:r>
      <w:r>
        <w:t>culling in Australian waters</w:t>
      </w:r>
    </w:p>
    <w:p w:rsidR="00997465" w:rsidRDefault="00B62F1B">
      <w:pPr>
        <w:pStyle w:val="dotpoints"/>
        <w:numPr>
          <w:ilvl w:val="0"/>
          <w:numId w:val="22"/>
        </w:numPr>
        <w:spacing w:before="120" w:after="120"/>
        <w:ind w:left="357" w:hanging="357"/>
      </w:pPr>
      <w:r>
        <w:t xml:space="preserve">the </w:t>
      </w:r>
      <w:r w:rsidR="0086686A">
        <w:t>AFL and banned substances</w:t>
      </w:r>
    </w:p>
    <w:p w:rsidR="00997465" w:rsidRDefault="000A0BEB">
      <w:pPr>
        <w:pStyle w:val="dotpoints"/>
        <w:numPr>
          <w:ilvl w:val="0"/>
          <w:numId w:val="22"/>
        </w:numPr>
        <w:spacing w:before="120" w:after="120"/>
        <w:ind w:left="357" w:hanging="357"/>
      </w:pPr>
      <w:r>
        <w:t>c</w:t>
      </w:r>
      <w:r w:rsidR="0086686A">
        <w:t>ompulsory vaccination of children</w:t>
      </w:r>
    </w:p>
    <w:p w:rsidR="00997465" w:rsidRDefault="000A0BEB">
      <w:pPr>
        <w:pStyle w:val="dotpoints"/>
        <w:numPr>
          <w:ilvl w:val="0"/>
          <w:numId w:val="22"/>
        </w:numPr>
        <w:spacing w:before="120" w:after="120"/>
        <w:ind w:left="357" w:hanging="357"/>
      </w:pPr>
      <w:r>
        <w:t>c</w:t>
      </w:r>
      <w:r w:rsidR="0086686A">
        <w:t>ommercial surrogacy</w:t>
      </w:r>
    </w:p>
    <w:p w:rsidR="00997465" w:rsidRDefault="000A0BEB">
      <w:pPr>
        <w:pStyle w:val="dotpoints"/>
        <w:numPr>
          <w:ilvl w:val="0"/>
          <w:numId w:val="22"/>
        </w:numPr>
        <w:spacing w:before="120" w:after="120"/>
        <w:ind w:left="357" w:hanging="357"/>
      </w:pPr>
      <w:r>
        <w:t>o</w:t>
      </w:r>
      <w:r w:rsidR="0086686A">
        <w:t>nline gaming</w:t>
      </w:r>
    </w:p>
    <w:p w:rsidR="00997465" w:rsidRDefault="0086686A">
      <w:pPr>
        <w:pStyle w:val="dotpoints"/>
        <w:numPr>
          <w:ilvl w:val="0"/>
          <w:numId w:val="22"/>
        </w:numPr>
        <w:spacing w:before="120" w:after="120"/>
        <w:ind w:left="357" w:hanging="357"/>
      </w:pPr>
      <w:r>
        <w:t>Internet censorship</w:t>
      </w:r>
    </w:p>
    <w:p w:rsidR="00997465" w:rsidRDefault="000A0BEB">
      <w:pPr>
        <w:pStyle w:val="dotpoints"/>
        <w:numPr>
          <w:ilvl w:val="0"/>
          <w:numId w:val="22"/>
        </w:numPr>
        <w:spacing w:before="120" w:after="120"/>
        <w:ind w:left="357" w:hanging="357"/>
      </w:pPr>
      <w:r>
        <w:t>t</w:t>
      </w:r>
      <w:r w:rsidR="0086686A">
        <w:t>he 3</w:t>
      </w:r>
      <w:r w:rsidR="00B62F1B">
        <w:t xml:space="preserve"> </w:t>
      </w:r>
      <w:r w:rsidR="0086686A">
        <w:t>a</w:t>
      </w:r>
      <w:r w:rsidR="00B62F1B">
        <w:t>.</w:t>
      </w:r>
      <w:r w:rsidR="0086686A">
        <w:t>m</w:t>
      </w:r>
      <w:r w:rsidR="00B62F1B">
        <w:t>.</w:t>
      </w:r>
      <w:r w:rsidR="0086686A">
        <w:t xml:space="preserve"> curfew </w:t>
      </w:r>
      <w:r w:rsidR="00B62F1B">
        <w:t>or</w:t>
      </w:r>
      <w:r w:rsidR="0086686A">
        <w:t xml:space="preserve"> ‘one punch’ legislation and violence</w:t>
      </w:r>
    </w:p>
    <w:p w:rsidR="00997465" w:rsidRDefault="000A0BEB">
      <w:pPr>
        <w:pStyle w:val="dotpoints"/>
        <w:numPr>
          <w:ilvl w:val="0"/>
          <w:numId w:val="22"/>
        </w:numPr>
        <w:spacing w:before="120" w:after="120"/>
        <w:ind w:left="357" w:hanging="357"/>
      </w:pPr>
      <w:r>
        <w:t>h</w:t>
      </w:r>
      <w:r w:rsidR="0086686A">
        <w:t>igh-speed police pursuits</w:t>
      </w:r>
    </w:p>
    <w:p w:rsidR="00997465" w:rsidRDefault="000A0BEB">
      <w:pPr>
        <w:pStyle w:val="dotpoints"/>
        <w:spacing w:before="120" w:after="120"/>
        <w:ind w:left="357" w:hanging="357"/>
      </w:pPr>
      <w:r>
        <w:t>c</w:t>
      </w:r>
      <w:r w:rsidR="0086686A">
        <w:t>hanges to university funding</w:t>
      </w:r>
    </w:p>
    <w:p w:rsidR="00997465" w:rsidRDefault="000A0BEB">
      <w:pPr>
        <w:pStyle w:val="dotpoints"/>
        <w:numPr>
          <w:ilvl w:val="0"/>
          <w:numId w:val="22"/>
        </w:numPr>
        <w:spacing w:before="120" w:after="120"/>
        <w:ind w:left="357" w:hanging="357"/>
      </w:pPr>
      <w:proofErr w:type="gramStart"/>
      <w:r>
        <w:t>u</w:t>
      </w:r>
      <w:r w:rsidR="0086686A">
        <w:t>se</w:t>
      </w:r>
      <w:proofErr w:type="gramEnd"/>
      <w:r w:rsidR="0086686A">
        <w:t xml:space="preserve"> of technology in schools</w:t>
      </w:r>
      <w:r w:rsidR="00B62F1B">
        <w:t>.</w:t>
      </w:r>
    </w:p>
    <w:p w:rsidR="00997465" w:rsidRDefault="0086686A">
      <w:pPr>
        <w:pStyle w:val="BodyText1"/>
      </w:pPr>
      <w:r>
        <w:lastRenderedPageBreak/>
        <w:t xml:space="preserve">Markers commented that global topics tended to be less successful, as they are typically too broad to </w:t>
      </w:r>
      <w:proofErr w:type="gramStart"/>
      <w:r>
        <w:t>be dealt with</w:t>
      </w:r>
      <w:proofErr w:type="gramEnd"/>
      <w:r>
        <w:t xml:space="preserve"> in depth in 2000 words, and the sources are almost always limited to secondary</w:t>
      </w:r>
      <w:r w:rsidR="00B62F1B">
        <w:t xml:space="preserve"> sources</w:t>
      </w:r>
      <w:r>
        <w:t>.</w:t>
      </w:r>
    </w:p>
    <w:p w:rsidR="0086686A" w:rsidRDefault="0086686A" w:rsidP="0086686A">
      <w:pPr>
        <w:pStyle w:val="dotpoints"/>
        <w:numPr>
          <w:ilvl w:val="0"/>
          <w:numId w:val="0"/>
        </w:numPr>
        <w:ind w:left="360" w:hanging="360"/>
      </w:pPr>
      <w:r>
        <w:t>Good local topics included:</w:t>
      </w:r>
    </w:p>
    <w:p w:rsidR="00997465" w:rsidRDefault="008642D5">
      <w:pPr>
        <w:pStyle w:val="dotpoints"/>
        <w:spacing w:before="120" w:after="120"/>
        <w:ind w:left="357" w:hanging="357"/>
      </w:pPr>
      <w:r>
        <w:t>t</w:t>
      </w:r>
      <w:r w:rsidR="0086686A">
        <w:t xml:space="preserve">he rejuvenation </w:t>
      </w:r>
      <w:r w:rsidR="0086686A" w:rsidRPr="00AC5028">
        <w:t>of Port Adelaide</w:t>
      </w:r>
    </w:p>
    <w:p w:rsidR="00997465" w:rsidRDefault="008642D5">
      <w:pPr>
        <w:pStyle w:val="dotpoints"/>
        <w:spacing w:before="120" w:after="120"/>
        <w:ind w:left="357" w:hanging="357"/>
      </w:pPr>
      <w:r>
        <w:t>s</w:t>
      </w:r>
      <w:r w:rsidR="0086686A" w:rsidRPr="00AC5028">
        <w:t>ecurity cameras in the CBD</w:t>
      </w:r>
    </w:p>
    <w:p w:rsidR="00997465" w:rsidRDefault="008642D5">
      <w:pPr>
        <w:pStyle w:val="dotpoints"/>
        <w:spacing w:before="120" w:after="120"/>
        <w:ind w:left="357" w:hanging="357"/>
      </w:pPr>
      <w:r>
        <w:t>t</w:t>
      </w:r>
      <w:r w:rsidR="0086686A" w:rsidRPr="00AC5028">
        <w:t>he Frome Street bikeway</w:t>
      </w:r>
    </w:p>
    <w:p w:rsidR="00997465" w:rsidRDefault="008642D5">
      <w:pPr>
        <w:pStyle w:val="dotpoints"/>
        <w:spacing w:before="120" w:after="120"/>
        <w:ind w:left="357" w:hanging="357"/>
      </w:pPr>
      <w:r>
        <w:t>e</w:t>
      </w:r>
      <w:r w:rsidR="0086686A" w:rsidRPr="00AC5028">
        <w:t>fficiency of the Adelaide Hills bus service</w:t>
      </w:r>
    </w:p>
    <w:p w:rsidR="00997465" w:rsidRDefault="008642D5">
      <w:pPr>
        <w:pStyle w:val="dotpoints"/>
        <w:spacing w:before="120" w:after="120"/>
        <w:ind w:left="357" w:hanging="357"/>
      </w:pPr>
      <w:proofErr w:type="gramStart"/>
      <w:r>
        <w:t>road</w:t>
      </w:r>
      <w:proofErr w:type="gramEnd"/>
      <w:r>
        <w:t xml:space="preserve"> s</w:t>
      </w:r>
      <w:r w:rsidR="0086686A" w:rsidRPr="00AC5028">
        <w:t>afety programs in</w:t>
      </w:r>
      <w:r w:rsidR="0086686A">
        <w:t xml:space="preserve"> secondary schools</w:t>
      </w:r>
      <w:r w:rsidR="00B62F1B">
        <w:t>.</w:t>
      </w:r>
    </w:p>
    <w:p w:rsidR="00997465" w:rsidRDefault="0086686A">
      <w:pPr>
        <w:pStyle w:val="BodyText1"/>
      </w:pPr>
      <w:r>
        <w:t>Markers commented that most students chose relevant and current social issues. However, some students need guidance in their choice of topic</w:t>
      </w:r>
      <w:r w:rsidR="002E3CC9">
        <w:t>, as</w:t>
      </w:r>
      <w:r>
        <w:t xml:space="preserve"> </w:t>
      </w:r>
      <w:r w:rsidR="002E3CC9">
        <w:t>several topics</w:t>
      </w:r>
      <w:r>
        <w:t xml:space="preserve"> stretched the definition of a ‘social issue’ </w:t>
      </w:r>
      <w:r w:rsidR="002E3CC9">
        <w:t>(</w:t>
      </w:r>
      <w:r>
        <w:t>such as ‘the current state of the Adelaide music scene’</w:t>
      </w:r>
      <w:r w:rsidR="002E3CC9">
        <w:t>)</w:t>
      </w:r>
      <w:r>
        <w:t>, or were of limited relevance to Australian society</w:t>
      </w:r>
      <w:r w:rsidR="002E3CC9">
        <w:t xml:space="preserve"> (</w:t>
      </w:r>
      <w:r>
        <w:t>such as ‘</w:t>
      </w:r>
      <w:r w:rsidR="002E3CC9">
        <w:t xml:space="preserve">the </w:t>
      </w:r>
      <w:r>
        <w:t>one-child policy in China’</w:t>
      </w:r>
      <w:r w:rsidR="002E3CC9">
        <w:t>),</w:t>
      </w:r>
      <w:r>
        <w:t xml:space="preserve"> or were too broad and lacking in focus. There were some instances where all students in a class used the same focusing questions</w:t>
      </w:r>
      <w:r w:rsidR="002E3CC9">
        <w:t>; s</w:t>
      </w:r>
      <w:r>
        <w:t>uch scaffolding can be limiting.</w:t>
      </w:r>
    </w:p>
    <w:p w:rsidR="00997465" w:rsidRDefault="0086686A">
      <w:pPr>
        <w:pStyle w:val="BodyText1"/>
      </w:pPr>
      <w:r>
        <w:t xml:space="preserve">The most successful students sought a wide range of appropriate and authoritative sources, both primary and secondary. Although surveys remained the most popular primary source, better investigations also obtained valuable primary data from interviewees with relevant expertise. They also showed awareness of other forms of ethnographic research, such as action research in the form of observation, or the collection of photographic evidence. </w:t>
      </w:r>
      <w:r w:rsidR="004B79D1">
        <w:t xml:space="preserve">Successful </w:t>
      </w:r>
      <w:r>
        <w:t xml:space="preserve">investigations synthesised sources, comparing the perspectives of interviewees with evidence provided by sound, up-to-date secondary sources, and identifying bias. Students </w:t>
      </w:r>
      <w:proofErr w:type="gramStart"/>
      <w:r>
        <w:t>were advantaged</w:t>
      </w:r>
      <w:proofErr w:type="gramEnd"/>
      <w:r>
        <w:t xml:space="preserve"> when investigations were structured with three or four focusing questions bearing a close relationship to the hypothesis or guid</w:t>
      </w:r>
      <w:r w:rsidR="008642D5">
        <w:t xml:space="preserve">ing question. Guiding questions </w:t>
      </w:r>
      <w:r>
        <w:t>which were ope</w:t>
      </w:r>
      <w:r w:rsidR="008642D5">
        <w:t>n-ended, such as ‘To what extent</w:t>
      </w:r>
      <w:r w:rsidR="0074797D">
        <w:t xml:space="preserve"> </w:t>
      </w:r>
      <w:r w:rsidR="00EB6FCA" w:rsidRPr="00EB6FCA">
        <w:t>…</w:t>
      </w:r>
      <w:proofErr w:type="gramStart"/>
      <w:r>
        <w:t>’</w:t>
      </w:r>
      <w:r w:rsidR="00365D2A">
        <w:t>,</w:t>
      </w:r>
      <w:proofErr w:type="gramEnd"/>
      <w:r w:rsidR="00365D2A">
        <w:t xml:space="preserve"> </w:t>
      </w:r>
      <w:bookmarkStart w:id="0" w:name="_GoBack"/>
      <w:bookmarkEnd w:id="0"/>
      <w:r>
        <w:t xml:space="preserve">fostered depth in analysis and evaluation. When students were encouraged to look at community-based issues, a variety of opinions </w:t>
      </w:r>
      <w:proofErr w:type="gramStart"/>
      <w:r>
        <w:t>could be canvassed</w:t>
      </w:r>
      <w:proofErr w:type="gramEnd"/>
      <w:r>
        <w:t xml:space="preserve"> from local media report</w:t>
      </w:r>
      <w:r w:rsidR="0064688D">
        <w:t>s</w:t>
      </w:r>
      <w:r>
        <w:t xml:space="preserve"> and local people who were willing to be interviewed</w:t>
      </w:r>
      <w:r w:rsidR="0074797D">
        <w:t>.</w:t>
      </w:r>
      <w:r>
        <w:t xml:space="preserve"> Successful students used this evidence to analyse and evaluate various perspectives and points of view, and ultimately to </w:t>
      </w:r>
      <w:proofErr w:type="gramStart"/>
      <w:r>
        <w:t>critique</w:t>
      </w:r>
      <w:proofErr w:type="gramEnd"/>
      <w:r>
        <w:t xml:space="preserve"> or support their hypothesis or guiding question.</w:t>
      </w:r>
    </w:p>
    <w:p w:rsidR="00997465" w:rsidRDefault="004B79D1">
      <w:pPr>
        <w:pStyle w:val="BodyText1"/>
      </w:pPr>
      <w:r>
        <w:t>Successful</w:t>
      </w:r>
      <w:r w:rsidR="0086686A">
        <w:t xml:space="preserve"> investigations featured a conclusion that included an evaluative summary of the main findings, provided insight into societal trends</w:t>
      </w:r>
      <w:r w:rsidR="0074797D">
        <w:t>,</w:t>
      </w:r>
      <w:r w:rsidR="0086686A">
        <w:t xml:space="preserve"> and identified strategies for social change. Students need to be aware of, and state, the limitations of their research as part of the conclusion to the findings of their report.</w:t>
      </w:r>
    </w:p>
    <w:p w:rsidR="00997465" w:rsidRDefault="0086686A">
      <w:pPr>
        <w:pStyle w:val="BodyText1"/>
      </w:pPr>
      <w:r>
        <w:t>In summary, the most successful investigations:</w:t>
      </w:r>
    </w:p>
    <w:p w:rsidR="00997465" w:rsidRDefault="008642D5">
      <w:pPr>
        <w:pStyle w:val="dotpoints"/>
        <w:spacing w:before="120" w:after="120"/>
        <w:ind w:left="357" w:hanging="357"/>
      </w:pPr>
      <w:r>
        <w:t>i</w:t>
      </w:r>
      <w:r w:rsidR="0086686A">
        <w:t xml:space="preserve">nvolved contemporary social or cultural issues that were open to discussion and debate, and had an </w:t>
      </w:r>
      <w:r>
        <w:t>Australian context</w:t>
      </w:r>
    </w:p>
    <w:p w:rsidR="00997465" w:rsidRDefault="008642D5">
      <w:pPr>
        <w:pStyle w:val="dotpoints"/>
        <w:spacing w:before="120" w:after="120"/>
        <w:ind w:left="357" w:hanging="357"/>
      </w:pPr>
      <w:r>
        <w:t>h</w:t>
      </w:r>
      <w:r w:rsidR="0086686A" w:rsidRPr="00AC5028">
        <w:t>ad tightly</w:t>
      </w:r>
      <w:r w:rsidR="0064688D">
        <w:t xml:space="preserve"> </w:t>
      </w:r>
      <w:r w:rsidR="0086686A" w:rsidRPr="00AC5028">
        <w:t>worded hypotheses or guiding questions</w:t>
      </w:r>
    </w:p>
    <w:p w:rsidR="00997465" w:rsidRDefault="008642D5">
      <w:pPr>
        <w:pStyle w:val="dotpoints"/>
        <w:spacing w:before="120" w:after="120"/>
        <w:ind w:left="357" w:hanging="357"/>
      </w:pPr>
      <w:r>
        <w:t>s</w:t>
      </w:r>
      <w:r w:rsidR="0086686A" w:rsidRPr="00AC5028">
        <w:t xml:space="preserve">tructured </w:t>
      </w:r>
      <w:r w:rsidR="0064688D">
        <w:t xml:space="preserve">the </w:t>
      </w:r>
      <w:r w:rsidR="0086686A" w:rsidRPr="00AC5028">
        <w:t>analysis around focus questions</w:t>
      </w:r>
    </w:p>
    <w:p w:rsidR="00997465" w:rsidRDefault="008642D5">
      <w:pPr>
        <w:pStyle w:val="dotpoints"/>
        <w:spacing w:before="120" w:after="120"/>
        <w:ind w:left="357" w:hanging="357"/>
      </w:pPr>
      <w:r>
        <w:t>u</w:t>
      </w:r>
      <w:r w:rsidR="0086686A" w:rsidRPr="00AC5028">
        <w:t>sed expert primary sources, supported by secondary sources</w:t>
      </w:r>
    </w:p>
    <w:p w:rsidR="00997465" w:rsidRDefault="008642D5">
      <w:pPr>
        <w:pStyle w:val="dotpoints"/>
        <w:spacing w:before="120" w:after="120"/>
        <w:ind w:left="357" w:hanging="357"/>
      </w:pPr>
      <w:r>
        <w:t>e</w:t>
      </w:r>
      <w:r w:rsidR="0086686A" w:rsidRPr="00AC5028">
        <w:t>valuated the sources for validity, reliability</w:t>
      </w:r>
      <w:r w:rsidR="0074797D">
        <w:t>,</w:t>
      </w:r>
      <w:r w:rsidR="0086686A" w:rsidRPr="00AC5028">
        <w:t xml:space="preserve"> and bias</w:t>
      </w:r>
    </w:p>
    <w:p w:rsidR="00997465" w:rsidRDefault="008642D5">
      <w:pPr>
        <w:pStyle w:val="dotpoints"/>
        <w:spacing w:before="120" w:after="120"/>
        <w:ind w:left="357" w:hanging="357"/>
      </w:pPr>
      <w:r>
        <w:t>p</w:t>
      </w:r>
      <w:r w:rsidR="0086686A" w:rsidRPr="00AC5028">
        <w:t>rovided evidence of multiple perspectives on the issue</w:t>
      </w:r>
    </w:p>
    <w:p w:rsidR="00997465" w:rsidRDefault="008642D5">
      <w:pPr>
        <w:pStyle w:val="dotpoints"/>
        <w:spacing w:before="120" w:after="120"/>
        <w:ind w:left="357" w:hanging="357"/>
      </w:pPr>
      <w:r>
        <w:lastRenderedPageBreak/>
        <w:t>e</w:t>
      </w:r>
      <w:r w:rsidR="0086686A" w:rsidRPr="00AC5028">
        <w:t>xplicitly addressed the nature and causes of social change</w:t>
      </w:r>
    </w:p>
    <w:p w:rsidR="00997465" w:rsidRDefault="008642D5">
      <w:pPr>
        <w:pStyle w:val="dotpoints"/>
        <w:spacing w:before="120" w:after="120"/>
        <w:ind w:left="357" w:hanging="357"/>
      </w:pPr>
      <w:r>
        <w:t>d</w:t>
      </w:r>
      <w:r w:rsidR="0086686A" w:rsidRPr="00AC5028">
        <w:t>emonstrated clearly an understanding of the ways in which societies and cultures are connected and interdependent</w:t>
      </w:r>
    </w:p>
    <w:p w:rsidR="00997465" w:rsidRDefault="008642D5">
      <w:pPr>
        <w:pStyle w:val="dotpoints"/>
        <w:spacing w:before="120" w:after="120"/>
        <w:ind w:left="357" w:hanging="357"/>
      </w:pPr>
      <w:r>
        <w:t>u</w:t>
      </w:r>
      <w:r w:rsidR="0086686A" w:rsidRPr="00AC5028">
        <w:t>sed a consistent referencing system</w:t>
      </w:r>
    </w:p>
    <w:p w:rsidR="00997465" w:rsidRDefault="008642D5">
      <w:pPr>
        <w:pStyle w:val="dotpoints"/>
        <w:spacing w:before="120" w:after="120"/>
        <w:ind w:left="357" w:hanging="357"/>
      </w:pPr>
      <w:r>
        <w:t>c</w:t>
      </w:r>
      <w:r w:rsidR="0086686A" w:rsidRPr="00AC5028">
        <w:t>ontained an insightful conclusion which addressed the limitations of the study</w:t>
      </w:r>
    </w:p>
    <w:p w:rsidR="00997465" w:rsidRDefault="008642D5">
      <w:pPr>
        <w:pStyle w:val="dotpoints"/>
        <w:spacing w:before="120" w:after="120"/>
        <w:ind w:left="357" w:hanging="357"/>
      </w:pPr>
      <w:r>
        <w:t>a</w:t>
      </w:r>
      <w:r w:rsidR="0086686A" w:rsidRPr="00AC5028">
        <w:t>dhered to the word</w:t>
      </w:r>
      <w:r w:rsidR="0074797D">
        <w:t>-</w:t>
      </w:r>
      <w:r w:rsidR="0086686A" w:rsidRPr="00AC5028">
        <w:t>limit</w:t>
      </w:r>
    </w:p>
    <w:p w:rsidR="00997465" w:rsidRDefault="008642D5">
      <w:pPr>
        <w:pStyle w:val="dotpoints"/>
        <w:spacing w:before="120" w:after="120"/>
        <w:ind w:left="357" w:hanging="357"/>
      </w:pPr>
      <w:proofErr w:type="gramStart"/>
      <w:r>
        <w:t>w</w:t>
      </w:r>
      <w:r w:rsidR="0086686A" w:rsidRPr="00AC5028">
        <w:t>ere</w:t>
      </w:r>
      <w:proofErr w:type="gramEnd"/>
      <w:r w:rsidR="0086686A">
        <w:t xml:space="preserve"> carefully drafted and edited to ensure the effective communication of ideas, knowledge, analysis</w:t>
      </w:r>
      <w:r w:rsidR="0074797D">
        <w:t>,</w:t>
      </w:r>
      <w:r w:rsidR="0086686A">
        <w:t xml:space="preserve"> and conclusions.</w:t>
      </w:r>
    </w:p>
    <w:p w:rsidR="0086686A" w:rsidRDefault="0086686A" w:rsidP="0086686A">
      <w:pPr>
        <w:pStyle w:val="Heading2"/>
        <w:rPr>
          <w:rFonts w:ascii="Times New Roman" w:hAnsi="Times New Roman"/>
          <w:sz w:val="22"/>
        </w:rPr>
      </w:pPr>
      <w:r>
        <w:t>General Comments</w:t>
      </w:r>
    </w:p>
    <w:p w:rsidR="00997465" w:rsidRDefault="0086686A">
      <w:pPr>
        <w:pStyle w:val="BodyText1"/>
      </w:pPr>
      <w:r>
        <w:t xml:space="preserve">The overall quality of student responses across all assessment components and types indicated that </w:t>
      </w:r>
      <w:r w:rsidRPr="006829DB">
        <w:t xml:space="preserve">many students had engaged with passion with the course and </w:t>
      </w:r>
      <w:r w:rsidR="0064688D">
        <w:t xml:space="preserve">that </w:t>
      </w:r>
      <w:r w:rsidRPr="006829DB">
        <w:t>the majority enjoyed</w:t>
      </w:r>
      <w:r w:rsidRPr="0095599F">
        <w:t xml:space="preserve"> many aspects of the topics studied.</w:t>
      </w:r>
    </w:p>
    <w:p w:rsidR="00997465" w:rsidRDefault="0086686A">
      <w:pPr>
        <w:pStyle w:val="BodyText1"/>
      </w:pPr>
      <w:r w:rsidRPr="0095599F">
        <w:t xml:space="preserve">Teachers, especially if teaching the subject for the first time, are strongly </w:t>
      </w:r>
      <w:r w:rsidR="007004A9">
        <w:t xml:space="preserve">encouraged </w:t>
      </w:r>
      <w:r w:rsidR="008642D5" w:rsidRPr="0095599F">
        <w:t xml:space="preserve">to attend one of the </w:t>
      </w:r>
      <w:r w:rsidR="008642D5">
        <w:t>c</w:t>
      </w:r>
      <w:r w:rsidR="008642D5" w:rsidRPr="0095599F">
        <w:t xml:space="preserve">larifying </w:t>
      </w:r>
      <w:r w:rsidR="008642D5">
        <w:t>f</w:t>
      </w:r>
      <w:r w:rsidRPr="0095599F">
        <w:t>orums early in the school year, to ensure they have a clear understanding of the benchmarks at each level of the performance standards.</w:t>
      </w:r>
    </w:p>
    <w:p w:rsidR="00997465" w:rsidRDefault="0086686A">
      <w:pPr>
        <w:pStyle w:val="BodyText1"/>
      </w:pPr>
      <w:r w:rsidRPr="0095599F">
        <w:t>Teachers who have participated in marking or moderation commented on the benefits of the experience</w:t>
      </w:r>
      <w:r>
        <w:t xml:space="preserve"> and the professional development they gained. All teachers are strongly encouraged to register their interest in joining one of the assessment panels for this subject.</w:t>
      </w:r>
    </w:p>
    <w:p w:rsidR="001A0F23" w:rsidRPr="000B51DE" w:rsidRDefault="00532959">
      <w:pPr>
        <w:pStyle w:val="Heading2"/>
      </w:pPr>
      <w:r>
        <w:t>Operational Advice</w:t>
      </w:r>
    </w:p>
    <w:p w:rsidR="0033563A" w:rsidRDefault="0033563A" w:rsidP="0033563A">
      <w:pPr>
        <w:pStyle w:val="BodyText1"/>
      </w:pPr>
      <w:r>
        <w:t xml:space="preserve">School assessment tasks </w:t>
      </w:r>
      <w:proofErr w:type="gramStart"/>
      <w:r>
        <w:t>are set and marked by teachers</w:t>
      </w:r>
      <w:proofErr w:type="gramEnd"/>
      <w:r>
        <w:t xml:space="preserve">. </w:t>
      </w:r>
      <w:proofErr w:type="gramStart"/>
      <w:r>
        <w:t>Teachers’ assessment decisions are reviewed by moderators</w:t>
      </w:r>
      <w:proofErr w:type="gramEnd"/>
      <w:r>
        <w:t>. Teacher grades/marks should be evident on all student school assessment work.</w:t>
      </w:r>
    </w:p>
    <w:p w:rsidR="0026523E" w:rsidRDefault="0026523E">
      <w:pPr>
        <w:pStyle w:val="BodyText1"/>
        <w:rPr>
          <w:rStyle w:val="CommentReference"/>
          <w:sz w:val="22"/>
        </w:rPr>
      </w:pPr>
      <w:r>
        <w:rPr>
          <w:rStyle w:val="CommentReference"/>
          <w:sz w:val="22"/>
        </w:rPr>
        <w:t xml:space="preserve">Most teachers included a </w:t>
      </w:r>
      <w:r w:rsidR="0074797D">
        <w:rPr>
          <w:rStyle w:val="CommentReference"/>
          <w:sz w:val="22"/>
        </w:rPr>
        <w:t>l</w:t>
      </w:r>
      <w:r>
        <w:rPr>
          <w:rStyle w:val="CommentReference"/>
          <w:sz w:val="22"/>
        </w:rPr>
        <w:t xml:space="preserve">earning and </w:t>
      </w:r>
      <w:r w:rsidR="0074797D">
        <w:rPr>
          <w:rStyle w:val="CommentReference"/>
          <w:sz w:val="22"/>
        </w:rPr>
        <w:t>a</w:t>
      </w:r>
      <w:r>
        <w:rPr>
          <w:rStyle w:val="CommentReference"/>
          <w:sz w:val="22"/>
        </w:rPr>
        <w:t xml:space="preserve">ssessment </w:t>
      </w:r>
      <w:r w:rsidR="0074797D">
        <w:rPr>
          <w:rStyle w:val="CommentReference"/>
          <w:sz w:val="22"/>
        </w:rPr>
        <w:t>plan</w:t>
      </w:r>
      <w:r>
        <w:rPr>
          <w:rStyle w:val="CommentReference"/>
          <w:sz w:val="22"/>
        </w:rPr>
        <w:t xml:space="preserve"> </w:t>
      </w:r>
      <w:r w:rsidR="0074797D">
        <w:rPr>
          <w:rStyle w:val="CommentReference"/>
          <w:sz w:val="22"/>
        </w:rPr>
        <w:t xml:space="preserve">(LAP) </w:t>
      </w:r>
      <w:r>
        <w:rPr>
          <w:rStyle w:val="CommentReference"/>
          <w:sz w:val="22"/>
        </w:rPr>
        <w:t xml:space="preserve">and attached an addendum if </w:t>
      </w:r>
      <w:r w:rsidRPr="0086686A">
        <w:rPr>
          <w:rStyle w:val="CommentReference"/>
          <w:sz w:val="22"/>
        </w:rPr>
        <w:t>changes</w:t>
      </w:r>
      <w:r>
        <w:rPr>
          <w:rStyle w:val="CommentReference"/>
          <w:sz w:val="22"/>
        </w:rPr>
        <w:t xml:space="preserve"> </w:t>
      </w:r>
      <w:proofErr w:type="gramStart"/>
      <w:r>
        <w:rPr>
          <w:rStyle w:val="CommentReference"/>
          <w:sz w:val="22"/>
        </w:rPr>
        <w:t>had been made</w:t>
      </w:r>
      <w:proofErr w:type="gramEnd"/>
      <w:r>
        <w:rPr>
          <w:rStyle w:val="CommentReference"/>
          <w:sz w:val="22"/>
        </w:rPr>
        <w:t xml:space="preserve">. There were some instances of teachers not including a LAP, or </w:t>
      </w:r>
      <w:r w:rsidRPr="00AC5028">
        <w:rPr>
          <w:rStyle w:val="CommentReference"/>
          <w:sz w:val="22"/>
        </w:rPr>
        <w:t>including</w:t>
      </w:r>
      <w:r>
        <w:rPr>
          <w:rStyle w:val="CommentReference"/>
          <w:sz w:val="22"/>
        </w:rPr>
        <w:t xml:space="preserve"> a LAP which identified different assessment design criteria to that specified on task sheets. There were a couple of instances of LAPs </w:t>
      </w:r>
      <w:r w:rsidR="00986C48">
        <w:rPr>
          <w:rStyle w:val="CommentReference"/>
          <w:sz w:val="22"/>
        </w:rPr>
        <w:t>which were on out</w:t>
      </w:r>
      <w:r w:rsidR="0074797D">
        <w:rPr>
          <w:rStyle w:val="CommentReference"/>
          <w:sz w:val="22"/>
        </w:rPr>
        <w:t>-</w:t>
      </w:r>
      <w:r w:rsidR="00986C48">
        <w:rPr>
          <w:rStyle w:val="CommentReference"/>
          <w:sz w:val="22"/>
        </w:rPr>
        <w:t>of</w:t>
      </w:r>
      <w:r w:rsidR="0074797D">
        <w:rPr>
          <w:rStyle w:val="CommentReference"/>
          <w:sz w:val="22"/>
        </w:rPr>
        <w:t>-</w:t>
      </w:r>
      <w:r w:rsidR="00986C48">
        <w:rPr>
          <w:rStyle w:val="CommentReference"/>
          <w:sz w:val="22"/>
        </w:rPr>
        <w:t xml:space="preserve">date forms and tasks which referred to </w:t>
      </w:r>
      <w:r w:rsidR="008365E3">
        <w:rPr>
          <w:rStyle w:val="CommentReference"/>
          <w:sz w:val="22"/>
        </w:rPr>
        <w:t>‘</w:t>
      </w:r>
      <w:r w:rsidR="00986C48">
        <w:rPr>
          <w:rStyle w:val="CommentReference"/>
          <w:sz w:val="22"/>
        </w:rPr>
        <w:t>S</w:t>
      </w:r>
      <w:r w:rsidR="008365E3">
        <w:rPr>
          <w:rStyle w:val="CommentReference"/>
          <w:sz w:val="22"/>
        </w:rPr>
        <w:t>S</w:t>
      </w:r>
      <w:r w:rsidR="00986C48">
        <w:rPr>
          <w:rStyle w:val="CommentReference"/>
          <w:sz w:val="22"/>
        </w:rPr>
        <w:t>ABSA</w:t>
      </w:r>
      <w:r w:rsidR="0074797D">
        <w:rPr>
          <w:rStyle w:val="CommentReference"/>
          <w:sz w:val="22"/>
        </w:rPr>
        <w:t>’</w:t>
      </w:r>
      <w:r w:rsidR="00986C48">
        <w:rPr>
          <w:rStyle w:val="CommentReference"/>
          <w:sz w:val="22"/>
        </w:rPr>
        <w:t xml:space="preserve"> policies</w:t>
      </w:r>
      <w:r>
        <w:rPr>
          <w:rStyle w:val="CommentReference"/>
          <w:sz w:val="22"/>
        </w:rPr>
        <w:t xml:space="preserve"> </w:t>
      </w:r>
      <w:r w:rsidR="001A16D4">
        <w:rPr>
          <w:rStyle w:val="CommentReference"/>
          <w:sz w:val="22"/>
        </w:rPr>
        <w:t>and the previous name of the subject (</w:t>
      </w:r>
      <w:r w:rsidR="0064688D">
        <w:rPr>
          <w:rStyle w:val="CommentReference"/>
          <w:sz w:val="22"/>
        </w:rPr>
        <w:t>‘</w:t>
      </w:r>
      <w:r w:rsidR="001A16D4">
        <w:rPr>
          <w:rStyle w:val="CommentReference"/>
          <w:sz w:val="22"/>
        </w:rPr>
        <w:t>Studies of Societies</w:t>
      </w:r>
      <w:r w:rsidR="0064688D">
        <w:rPr>
          <w:rStyle w:val="CommentReference"/>
          <w:sz w:val="22"/>
        </w:rPr>
        <w:t>’</w:t>
      </w:r>
      <w:r w:rsidR="001A16D4">
        <w:rPr>
          <w:rStyle w:val="CommentReference"/>
          <w:sz w:val="22"/>
        </w:rPr>
        <w:t xml:space="preserve">). </w:t>
      </w:r>
      <w:r>
        <w:rPr>
          <w:rStyle w:val="CommentReference"/>
          <w:sz w:val="22"/>
        </w:rPr>
        <w:t xml:space="preserve">Teachers </w:t>
      </w:r>
      <w:proofErr w:type="gramStart"/>
      <w:r>
        <w:rPr>
          <w:rStyle w:val="CommentReference"/>
          <w:sz w:val="22"/>
        </w:rPr>
        <w:t>are reminded</w:t>
      </w:r>
      <w:proofErr w:type="gramEnd"/>
      <w:r>
        <w:rPr>
          <w:rStyle w:val="CommentReference"/>
          <w:sz w:val="22"/>
        </w:rPr>
        <w:t xml:space="preserve"> that a copy of an </w:t>
      </w:r>
      <w:r w:rsidR="00D53FD0" w:rsidRPr="00D53FD0">
        <w:rPr>
          <w:rStyle w:val="CommentReference"/>
          <w:i/>
          <w:sz w:val="22"/>
        </w:rPr>
        <w:t xml:space="preserve">approved </w:t>
      </w:r>
      <w:r w:rsidR="00EB6FCA" w:rsidRPr="00EB6FCA">
        <w:rPr>
          <w:rStyle w:val="CommentReference"/>
          <w:sz w:val="22"/>
        </w:rPr>
        <w:t>LAP</w:t>
      </w:r>
      <w:r w:rsidR="00455E6F">
        <w:rPr>
          <w:rStyle w:val="CommentReference"/>
          <w:sz w:val="22"/>
        </w:rPr>
        <w:t xml:space="preserve"> and a complete set of task sheets for both assessment types should be included in the materials submitted for moderation.</w:t>
      </w:r>
    </w:p>
    <w:p w:rsidR="00B74A2D" w:rsidRPr="00AC5028" w:rsidRDefault="0026523E">
      <w:pPr>
        <w:pStyle w:val="BodyText1"/>
        <w:rPr>
          <w:rStyle w:val="CommentReference"/>
          <w:sz w:val="22"/>
        </w:rPr>
      </w:pPr>
      <w:r>
        <w:rPr>
          <w:rStyle w:val="CommentReference"/>
          <w:sz w:val="22"/>
        </w:rPr>
        <w:t xml:space="preserve">Generally, the standard of packaging was high, with the majority of teachers organising material by assessment </w:t>
      </w:r>
      <w:r w:rsidRPr="00AC5028">
        <w:rPr>
          <w:rStyle w:val="CommentReference"/>
          <w:sz w:val="22"/>
        </w:rPr>
        <w:t xml:space="preserve">type </w:t>
      </w:r>
      <w:r w:rsidR="00B74A2D" w:rsidRPr="00AC5028">
        <w:rPr>
          <w:rStyle w:val="CommentReference"/>
          <w:sz w:val="22"/>
        </w:rPr>
        <w:t>within</w:t>
      </w:r>
      <w:r w:rsidRPr="00AC5028">
        <w:rPr>
          <w:rStyle w:val="CommentReference"/>
          <w:sz w:val="22"/>
        </w:rPr>
        <w:t xml:space="preserve"> each individual student package.</w:t>
      </w:r>
    </w:p>
    <w:p w:rsidR="0026523E" w:rsidRDefault="0026523E">
      <w:pPr>
        <w:pStyle w:val="BodyText1"/>
        <w:rPr>
          <w:rStyle w:val="CommentReference"/>
          <w:sz w:val="22"/>
        </w:rPr>
      </w:pPr>
      <w:r w:rsidRPr="00AC5028">
        <w:rPr>
          <w:rStyle w:val="CommentReference"/>
          <w:sz w:val="22"/>
        </w:rPr>
        <w:t>Moderators appreciated the following fe</w:t>
      </w:r>
      <w:r>
        <w:rPr>
          <w:rStyle w:val="CommentReference"/>
          <w:sz w:val="22"/>
        </w:rPr>
        <w:t>atures of packaged material:</w:t>
      </w:r>
    </w:p>
    <w:p w:rsidR="00997465" w:rsidRDefault="0074797D">
      <w:pPr>
        <w:pStyle w:val="dotpoints"/>
        <w:rPr>
          <w:rStyle w:val="CommentReference"/>
          <w:sz w:val="22"/>
        </w:rPr>
      </w:pPr>
      <w:r>
        <w:rPr>
          <w:rStyle w:val="CommentReference"/>
          <w:sz w:val="22"/>
        </w:rPr>
        <w:t>s</w:t>
      </w:r>
      <w:r w:rsidR="0026523E">
        <w:rPr>
          <w:rStyle w:val="CommentReference"/>
          <w:sz w:val="22"/>
        </w:rPr>
        <w:t>ummary sheets which enabled moderators to clearly see how teachers had reached assessment decisions</w:t>
      </w:r>
    </w:p>
    <w:p w:rsidR="00997465" w:rsidRDefault="0074797D">
      <w:pPr>
        <w:pStyle w:val="dotpoints"/>
        <w:rPr>
          <w:rStyle w:val="CommentReference"/>
          <w:sz w:val="22"/>
        </w:rPr>
      </w:pPr>
      <w:r>
        <w:rPr>
          <w:rStyle w:val="CommentReference"/>
          <w:sz w:val="22"/>
        </w:rPr>
        <w:t>a</w:t>
      </w:r>
      <w:r w:rsidR="0026523E">
        <w:rPr>
          <w:rStyle w:val="CommentReference"/>
          <w:sz w:val="22"/>
        </w:rPr>
        <w:t xml:space="preserve">ssessment sheets with a clear indication of achievement against performance standards attached to </w:t>
      </w:r>
      <w:r w:rsidR="0035167D">
        <w:rPr>
          <w:rStyle w:val="CommentReference"/>
          <w:sz w:val="22"/>
        </w:rPr>
        <w:t xml:space="preserve">individual </w:t>
      </w:r>
      <w:r w:rsidR="0026523E">
        <w:rPr>
          <w:rStyle w:val="CommentReference"/>
          <w:sz w:val="22"/>
        </w:rPr>
        <w:t>pieces of student work</w:t>
      </w:r>
    </w:p>
    <w:p w:rsidR="00997465" w:rsidRDefault="0074797D">
      <w:pPr>
        <w:pStyle w:val="dotpoints"/>
        <w:rPr>
          <w:rStyle w:val="CommentReference"/>
          <w:sz w:val="22"/>
        </w:rPr>
      </w:pPr>
      <w:r>
        <w:rPr>
          <w:rStyle w:val="CommentReference"/>
          <w:sz w:val="22"/>
        </w:rPr>
        <w:t>t</w:t>
      </w:r>
      <w:r w:rsidR="0050004C">
        <w:rPr>
          <w:rStyle w:val="CommentReference"/>
          <w:sz w:val="22"/>
        </w:rPr>
        <w:t>ask sheets which clearly identified assessment type (</w:t>
      </w:r>
      <w:r>
        <w:rPr>
          <w:rStyle w:val="CommentReference"/>
          <w:sz w:val="22"/>
        </w:rPr>
        <w:t>f</w:t>
      </w:r>
      <w:r w:rsidR="0050004C">
        <w:rPr>
          <w:rStyle w:val="CommentReference"/>
          <w:sz w:val="22"/>
        </w:rPr>
        <w:t xml:space="preserve">olio or </w:t>
      </w:r>
      <w:r>
        <w:rPr>
          <w:rStyle w:val="CommentReference"/>
          <w:sz w:val="22"/>
        </w:rPr>
        <w:t>i</w:t>
      </w:r>
      <w:r w:rsidR="0050004C">
        <w:rPr>
          <w:rStyle w:val="CommentReference"/>
          <w:sz w:val="22"/>
        </w:rPr>
        <w:t>nteraction)</w:t>
      </w:r>
    </w:p>
    <w:p w:rsidR="00997465" w:rsidRDefault="00986C48">
      <w:pPr>
        <w:pStyle w:val="BodyText1"/>
      </w:pPr>
      <w:r>
        <w:rPr>
          <w:rStyle w:val="CommentReference"/>
          <w:sz w:val="22"/>
        </w:rPr>
        <w:lastRenderedPageBreak/>
        <w:t xml:space="preserve">In many cases, </w:t>
      </w:r>
      <w:r w:rsidRPr="006829DB">
        <w:rPr>
          <w:rStyle w:val="CommentReference"/>
          <w:sz w:val="22"/>
        </w:rPr>
        <w:t>teachers</w:t>
      </w:r>
      <w:r>
        <w:rPr>
          <w:rStyle w:val="CommentReference"/>
          <w:sz w:val="22"/>
        </w:rPr>
        <w:t xml:space="preserve"> did not include a Variations </w:t>
      </w:r>
      <w:r w:rsidR="005427B9">
        <w:rPr>
          <w:rStyle w:val="CommentReference"/>
          <w:sz w:val="22"/>
        </w:rPr>
        <w:t>—</w:t>
      </w:r>
      <w:r>
        <w:rPr>
          <w:rStyle w:val="CommentReference"/>
          <w:sz w:val="22"/>
        </w:rPr>
        <w:t xml:space="preserve"> Moderations Materials form, particularly in instances where students ha</w:t>
      </w:r>
      <w:r w:rsidR="00C454B4">
        <w:rPr>
          <w:rStyle w:val="CommentReference"/>
          <w:sz w:val="22"/>
        </w:rPr>
        <w:t>d</w:t>
      </w:r>
      <w:r>
        <w:rPr>
          <w:rStyle w:val="CommentReference"/>
          <w:sz w:val="22"/>
        </w:rPr>
        <w:t xml:space="preserve"> not submitted tasks. Teachers </w:t>
      </w:r>
      <w:proofErr w:type="gramStart"/>
      <w:r>
        <w:rPr>
          <w:rStyle w:val="CommentReference"/>
          <w:sz w:val="22"/>
        </w:rPr>
        <w:t>are reminded</w:t>
      </w:r>
      <w:proofErr w:type="gramEnd"/>
      <w:r>
        <w:rPr>
          <w:rStyle w:val="CommentReference"/>
          <w:sz w:val="22"/>
        </w:rPr>
        <w:t xml:space="preserve"> that where a student has not completed or submitted tasks</w:t>
      </w:r>
      <w:r w:rsidR="005427B9">
        <w:rPr>
          <w:rStyle w:val="CommentReference"/>
          <w:sz w:val="22"/>
        </w:rPr>
        <w:t>,</w:t>
      </w:r>
      <w:r>
        <w:rPr>
          <w:rStyle w:val="CommentReference"/>
          <w:sz w:val="22"/>
        </w:rPr>
        <w:t xml:space="preserve"> the result submitted online should factor in a nil grade/mark</w:t>
      </w:r>
      <w:r w:rsidR="0033563A">
        <w:rPr>
          <w:rStyle w:val="CommentReference"/>
          <w:sz w:val="22"/>
        </w:rPr>
        <w:t xml:space="preserve"> for the relevant task</w:t>
      </w:r>
      <w:r>
        <w:rPr>
          <w:rStyle w:val="CommentReference"/>
          <w:sz w:val="22"/>
        </w:rPr>
        <w:t>.</w:t>
      </w:r>
    </w:p>
    <w:p w:rsidR="00997465" w:rsidRDefault="00AC5028">
      <w:pPr>
        <w:spacing w:before="480"/>
        <w:rPr>
          <w:rFonts w:ascii="Arial" w:hAnsi="Arial" w:cs="Arial"/>
          <w:szCs w:val="22"/>
        </w:rPr>
      </w:pPr>
      <w:r>
        <w:rPr>
          <w:rFonts w:ascii="Arial" w:hAnsi="Arial" w:cs="Arial"/>
          <w:szCs w:val="22"/>
        </w:rPr>
        <w:t>Society and Culture</w:t>
      </w:r>
    </w:p>
    <w:p w:rsidR="00AC5028" w:rsidRPr="00EF31AB" w:rsidRDefault="00AC5028" w:rsidP="001B602D">
      <w:r>
        <w:rPr>
          <w:rFonts w:ascii="Arial" w:hAnsi="Arial" w:cs="Arial"/>
          <w:szCs w:val="22"/>
        </w:rPr>
        <w:t>Chief Assessor</w:t>
      </w:r>
    </w:p>
    <w:sectPr w:rsidR="00AC5028"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40" w:rsidRDefault="00D53640">
      <w:r>
        <w:separator/>
      </w:r>
    </w:p>
  </w:endnote>
  <w:endnote w:type="continuationSeparator" w:id="0">
    <w:p w:rsidR="00D53640" w:rsidRDefault="00D5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EB6FCA">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EB6FCA">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Pr="005B1FDF" w:rsidRDefault="00D53FD0" w:rsidP="000A7E3A">
    <w:pPr>
      <w:pStyle w:val="Footer"/>
      <w:tabs>
        <w:tab w:val="clear" w:pos="4153"/>
      </w:tabs>
      <w:ind w:right="91"/>
      <w:rPr>
        <w:rFonts w:ascii="Arial" w:hAnsi="Arial" w:cs="Arial"/>
        <w:sz w:val="18"/>
        <w:szCs w:val="18"/>
        <w:lang w:val="en-US"/>
      </w:rPr>
    </w:pPr>
    <w:r w:rsidRPr="00D53FD0">
      <w:rPr>
        <w:rFonts w:ascii="Arial" w:hAnsi="Arial" w:cs="Arial"/>
        <w:sz w:val="18"/>
        <w:szCs w:val="18"/>
        <w:lang w:val="en-US"/>
      </w:rPr>
      <w:t>Society and Culture</w:t>
    </w:r>
    <w:r w:rsidR="009C1816" w:rsidRPr="0016335D">
      <w:rPr>
        <w:rFonts w:ascii="Arial" w:hAnsi="Arial" w:cs="Arial"/>
        <w:sz w:val="18"/>
        <w:szCs w:val="18"/>
        <w:lang w:val="en-US"/>
      </w:rPr>
      <w:t xml:space="preserve"> </w:t>
    </w:r>
    <w:r w:rsidR="008D4935">
      <w:rPr>
        <w:rFonts w:ascii="Arial" w:hAnsi="Arial" w:cs="Arial"/>
        <w:sz w:val="18"/>
        <w:szCs w:val="18"/>
        <w:lang w:val="en-US"/>
      </w:rPr>
      <w:t xml:space="preserve">2014 </w:t>
    </w:r>
    <w:r w:rsidR="000A7E3A">
      <w:rPr>
        <w:rFonts w:ascii="Arial" w:hAnsi="Arial" w:cs="Arial"/>
        <w:sz w:val="18"/>
        <w:szCs w:val="18"/>
        <w:lang w:val="en-US"/>
      </w:rPr>
      <w:t>Chief Assessor’s</w:t>
    </w:r>
    <w:r w:rsidR="009C1816">
      <w:rPr>
        <w:rFonts w:ascii="Arial" w:hAnsi="Arial" w:cs="Arial"/>
        <w:sz w:val="18"/>
        <w:szCs w:val="18"/>
        <w:lang w:val="en-US"/>
      </w:rPr>
      <w:t xml:space="preserve"> Report</w:t>
    </w:r>
    <w:r w:rsidR="009C1816">
      <w:rPr>
        <w:rFonts w:ascii="Arial" w:hAnsi="Arial" w:cs="Arial"/>
        <w:sz w:val="18"/>
        <w:szCs w:val="18"/>
        <w:lang w:val="en-US"/>
      </w:rPr>
      <w:tab/>
    </w:r>
    <w:r w:rsidR="009C1816" w:rsidRPr="005B1FDF">
      <w:rPr>
        <w:rFonts w:ascii="Arial" w:hAnsi="Arial" w:cs="Arial"/>
        <w:sz w:val="18"/>
        <w:szCs w:val="18"/>
        <w:lang w:val="en-US"/>
      </w:rPr>
      <w:t xml:space="preserve">Page </w:t>
    </w:r>
    <w:r w:rsidR="00EB6FCA" w:rsidRPr="005B1FDF">
      <w:rPr>
        <w:rFonts w:ascii="Arial" w:hAnsi="Arial" w:cs="Arial"/>
        <w:sz w:val="18"/>
        <w:szCs w:val="18"/>
        <w:lang w:val="en-US"/>
      </w:rPr>
      <w:fldChar w:fldCharType="begin"/>
    </w:r>
    <w:r w:rsidR="009C1816" w:rsidRPr="005B1FDF">
      <w:rPr>
        <w:rFonts w:ascii="Arial" w:hAnsi="Arial" w:cs="Arial"/>
        <w:sz w:val="18"/>
        <w:szCs w:val="18"/>
        <w:lang w:val="en-US"/>
      </w:rPr>
      <w:instrText xml:space="preserve"> PAGE </w:instrText>
    </w:r>
    <w:r w:rsidR="00EB6FCA" w:rsidRPr="005B1FDF">
      <w:rPr>
        <w:rFonts w:ascii="Arial" w:hAnsi="Arial" w:cs="Arial"/>
        <w:sz w:val="18"/>
        <w:szCs w:val="18"/>
        <w:lang w:val="en-US"/>
      </w:rPr>
      <w:fldChar w:fldCharType="separate"/>
    </w:r>
    <w:r w:rsidR="00365D2A">
      <w:rPr>
        <w:rFonts w:ascii="Arial" w:hAnsi="Arial" w:cs="Arial"/>
        <w:noProof/>
        <w:sz w:val="18"/>
        <w:szCs w:val="18"/>
        <w:lang w:val="en-US"/>
      </w:rPr>
      <w:t>6</w:t>
    </w:r>
    <w:r w:rsidR="00EB6FCA" w:rsidRPr="005B1FDF">
      <w:rPr>
        <w:rFonts w:ascii="Arial" w:hAnsi="Arial" w:cs="Arial"/>
        <w:sz w:val="18"/>
        <w:szCs w:val="18"/>
        <w:lang w:val="en-US"/>
      </w:rPr>
      <w:fldChar w:fldCharType="end"/>
    </w:r>
    <w:r w:rsidR="009C1816" w:rsidRPr="005B1FDF">
      <w:rPr>
        <w:rFonts w:ascii="Arial" w:hAnsi="Arial" w:cs="Arial"/>
        <w:sz w:val="18"/>
        <w:szCs w:val="18"/>
        <w:lang w:val="en-US"/>
      </w:rPr>
      <w:t xml:space="preserve"> of </w:t>
    </w:r>
    <w:r w:rsidR="00EB6FCA" w:rsidRPr="005B1FDF">
      <w:rPr>
        <w:rFonts w:ascii="Arial" w:hAnsi="Arial" w:cs="Arial"/>
        <w:sz w:val="18"/>
        <w:szCs w:val="18"/>
        <w:lang w:val="en-US"/>
      </w:rPr>
      <w:fldChar w:fldCharType="begin"/>
    </w:r>
    <w:r w:rsidR="009C1816" w:rsidRPr="005B1FDF">
      <w:rPr>
        <w:rFonts w:ascii="Arial" w:hAnsi="Arial" w:cs="Arial"/>
        <w:sz w:val="18"/>
        <w:szCs w:val="18"/>
        <w:lang w:val="en-US"/>
      </w:rPr>
      <w:instrText xml:space="preserve"> NUMPAGES </w:instrText>
    </w:r>
    <w:r w:rsidR="00EB6FCA" w:rsidRPr="005B1FDF">
      <w:rPr>
        <w:rFonts w:ascii="Arial" w:hAnsi="Arial" w:cs="Arial"/>
        <w:sz w:val="18"/>
        <w:szCs w:val="18"/>
        <w:lang w:val="en-US"/>
      </w:rPr>
      <w:fldChar w:fldCharType="separate"/>
    </w:r>
    <w:r w:rsidR="00365D2A">
      <w:rPr>
        <w:rFonts w:ascii="Arial" w:hAnsi="Arial" w:cs="Arial"/>
        <w:noProof/>
        <w:sz w:val="18"/>
        <w:szCs w:val="18"/>
        <w:lang w:val="en-US"/>
      </w:rPr>
      <w:t>8</w:t>
    </w:r>
    <w:r w:rsidR="00EB6FCA" w:rsidRPr="005B1FDF">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EB6FCA">
    <w:pPr>
      <w:pStyle w:val="Footer"/>
      <w:framePr w:wrap="around" w:vAnchor="text" w:hAnchor="margin" w:xAlign="center" w:y="1"/>
      <w:rPr>
        <w:rStyle w:val="PageNumber"/>
      </w:rPr>
    </w:pPr>
    <w:r>
      <w:rPr>
        <w:rStyle w:val="PageNumber"/>
      </w:rPr>
      <w:fldChar w:fldCharType="begin"/>
    </w:r>
    <w:r w:rsidR="009C1816">
      <w:rPr>
        <w:rStyle w:val="PageNumber"/>
      </w:rPr>
      <w:instrText xml:space="preserve">PAGE  </w:instrText>
    </w:r>
    <w:r>
      <w:rPr>
        <w:rStyle w:val="PageNumber"/>
      </w:rPr>
      <w:fldChar w:fldCharType="separate"/>
    </w:r>
    <w:r w:rsidR="009C1816">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40" w:rsidRDefault="00D53640">
      <w:r>
        <w:separator/>
      </w:r>
    </w:p>
  </w:footnote>
  <w:footnote w:type="continuationSeparator" w:id="0">
    <w:p w:rsidR="00D53640" w:rsidRDefault="00D53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C0979C2"/>
    <w:multiLevelType w:val="hybridMultilevel"/>
    <w:tmpl w:val="A5482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3D92407"/>
    <w:multiLevelType w:val="hybridMultilevel"/>
    <w:tmpl w:val="BD807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3D48D4"/>
    <w:multiLevelType w:val="hybridMultilevel"/>
    <w:tmpl w:val="669015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7866EC7"/>
    <w:multiLevelType w:val="hybridMultilevel"/>
    <w:tmpl w:val="13D66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4CF1D70"/>
    <w:multiLevelType w:val="hybridMultilevel"/>
    <w:tmpl w:val="0CDE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8B7D1B"/>
    <w:multiLevelType w:val="hybridMultilevel"/>
    <w:tmpl w:val="A6268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7F655F"/>
    <w:multiLevelType w:val="hybridMultilevel"/>
    <w:tmpl w:val="691AA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0775721"/>
    <w:multiLevelType w:val="hybridMultilevel"/>
    <w:tmpl w:val="BFEE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0"/>
  </w:num>
  <w:num w:numId="4">
    <w:abstractNumId w:val="14"/>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2"/>
  </w:num>
  <w:num w:numId="17">
    <w:abstractNumId w:val="13"/>
  </w:num>
  <w:num w:numId="18">
    <w:abstractNumId w:val="19"/>
  </w:num>
  <w:num w:numId="19">
    <w:abstractNumId w:val="18"/>
  </w:num>
  <w:num w:numId="20">
    <w:abstractNumId w:val="21"/>
  </w:num>
  <w:num w:numId="21">
    <w:abstractNumId w:val="10"/>
  </w:num>
  <w:num w:numId="2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qui Jury">
    <w15:presenceInfo w15:providerId="AD" w15:userId="S-1-5-21-2005280284-3848973665-3848520655-3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12027"/>
    <w:rsid w:val="00033664"/>
    <w:rsid w:val="0004325A"/>
    <w:rsid w:val="00054F9D"/>
    <w:rsid w:val="0007081C"/>
    <w:rsid w:val="000A0BEB"/>
    <w:rsid w:val="000A7E3A"/>
    <w:rsid w:val="000B51DE"/>
    <w:rsid w:val="000C3880"/>
    <w:rsid w:val="000C7C0A"/>
    <w:rsid w:val="000C7D91"/>
    <w:rsid w:val="000E4E6A"/>
    <w:rsid w:val="000F2E9A"/>
    <w:rsid w:val="0010157A"/>
    <w:rsid w:val="00113786"/>
    <w:rsid w:val="001138EE"/>
    <w:rsid w:val="00115F40"/>
    <w:rsid w:val="001474AD"/>
    <w:rsid w:val="00160240"/>
    <w:rsid w:val="0016335D"/>
    <w:rsid w:val="00165AA5"/>
    <w:rsid w:val="001A0F23"/>
    <w:rsid w:val="001A16D4"/>
    <w:rsid w:val="001B0589"/>
    <w:rsid w:val="001B602D"/>
    <w:rsid w:val="001C2B7D"/>
    <w:rsid w:val="001C65C8"/>
    <w:rsid w:val="001C7099"/>
    <w:rsid w:val="001D04DD"/>
    <w:rsid w:val="001F2DF1"/>
    <w:rsid w:val="001F3325"/>
    <w:rsid w:val="001F4153"/>
    <w:rsid w:val="002042D6"/>
    <w:rsid w:val="002125F5"/>
    <w:rsid w:val="00225FC5"/>
    <w:rsid w:val="00247A2D"/>
    <w:rsid w:val="0026523E"/>
    <w:rsid w:val="002948CC"/>
    <w:rsid w:val="002A00B7"/>
    <w:rsid w:val="002A21C2"/>
    <w:rsid w:val="002B625C"/>
    <w:rsid w:val="002C5A36"/>
    <w:rsid w:val="002C62D8"/>
    <w:rsid w:val="002E3CC9"/>
    <w:rsid w:val="00312191"/>
    <w:rsid w:val="0033563A"/>
    <w:rsid w:val="003463FB"/>
    <w:rsid w:val="0035167D"/>
    <w:rsid w:val="00355FAC"/>
    <w:rsid w:val="00361D31"/>
    <w:rsid w:val="00365D2A"/>
    <w:rsid w:val="003671C1"/>
    <w:rsid w:val="003A4369"/>
    <w:rsid w:val="003C6BF9"/>
    <w:rsid w:val="003C7581"/>
    <w:rsid w:val="004017B4"/>
    <w:rsid w:val="00404FF6"/>
    <w:rsid w:val="00455E6F"/>
    <w:rsid w:val="004667D1"/>
    <w:rsid w:val="004875CD"/>
    <w:rsid w:val="004B2B0D"/>
    <w:rsid w:val="004B79D1"/>
    <w:rsid w:val="004D0F80"/>
    <w:rsid w:val="004D2A53"/>
    <w:rsid w:val="004E77C7"/>
    <w:rsid w:val="004F3764"/>
    <w:rsid w:val="004F4A4E"/>
    <w:rsid w:val="0050004C"/>
    <w:rsid w:val="0053196F"/>
    <w:rsid w:val="00532959"/>
    <w:rsid w:val="005427B9"/>
    <w:rsid w:val="00560F4B"/>
    <w:rsid w:val="00574A4E"/>
    <w:rsid w:val="00597399"/>
    <w:rsid w:val="005B1FDF"/>
    <w:rsid w:val="005D713B"/>
    <w:rsid w:val="005F7520"/>
    <w:rsid w:val="00603E07"/>
    <w:rsid w:val="006047FB"/>
    <w:rsid w:val="00613FDD"/>
    <w:rsid w:val="006246EA"/>
    <w:rsid w:val="006442AE"/>
    <w:rsid w:val="0064688D"/>
    <w:rsid w:val="00653FF7"/>
    <w:rsid w:val="0066363A"/>
    <w:rsid w:val="00663BA6"/>
    <w:rsid w:val="00664156"/>
    <w:rsid w:val="00676576"/>
    <w:rsid w:val="006829AF"/>
    <w:rsid w:val="006829DB"/>
    <w:rsid w:val="00684BC5"/>
    <w:rsid w:val="006951B8"/>
    <w:rsid w:val="006A38C6"/>
    <w:rsid w:val="006C3FEB"/>
    <w:rsid w:val="006D46C9"/>
    <w:rsid w:val="006D663D"/>
    <w:rsid w:val="006E51DA"/>
    <w:rsid w:val="007004A9"/>
    <w:rsid w:val="007059DA"/>
    <w:rsid w:val="007246B1"/>
    <w:rsid w:val="0072542B"/>
    <w:rsid w:val="00736F69"/>
    <w:rsid w:val="00744570"/>
    <w:rsid w:val="0074797D"/>
    <w:rsid w:val="00757A06"/>
    <w:rsid w:val="0076338E"/>
    <w:rsid w:val="00765871"/>
    <w:rsid w:val="007721D9"/>
    <w:rsid w:val="00777766"/>
    <w:rsid w:val="00791F1A"/>
    <w:rsid w:val="0079634D"/>
    <w:rsid w:val="007C16AD"/>
    <w:rsid w:val="007C5511"/>
    <w:rsid w:val="007C5E80"/>
    <w:rsid w:val="007E5E74"/>
    <w:rsid w:val="0083404B"/>
    <w:rsid w:val="008365E3"/>
    <w:rsid w:val="00847D4F"/>
    <w:rsid w:val="00853C3A"/>
    <w:rsid w:val="008642D5"/>
    <w:rsid w:val="0086686A"/>
    <w:rsid w:val="0089070E"/>
    <w:rsid w:val="008D1095"/>
    <w:rsid w:val="008D4935"/>
    <w:rsid w:val="008D6093"/>
    <w:rsid w:val="008E68C9"/>
    <w:rsid w:val="008F68EB"/>
    <w:rsid w:val="00905A14"/>
    <w:rsid w:val="00951B11"/>
    <w:rsid w:val="0095599F"/>
    <w:rsid w:val="00974F61"/>
    <w:rsid w:val="009867AC"/>
    <w:rsid w:val="00986C48"/>
    <w:rsid w:val="00997465"/>
    <w:rsid w:val="00997A70"/>
    <w:rsid w:val="009A443D"/>
    <w:rsid w:val="009A4917"/>
    <w:rsid w:val="009B44BF"/>
    <w:rsid w:val="009B5CFD"/>
    <w:rsid w:val="009B5EE0"/>
    <w:rsid w:val="009C1816"/>
    <w:rsid w:val="009D13AD"/>
    <w:rsid w:val="009F4384"/>
    <w:rsid w:val="009F78D3"/>
    <w:rsid w:val="00A53EB2"/>
    <w:rsid w:val="00A74970"/>
    <w:rsid w:val="00A8556E"/>
    <w:rsid w:val="00A956BA"/>
    <w:rsid w:val="00AB1BDE"/>
    <w:rsid w:val="00AB46DE"/>
    <w:rsid w:val="00AB5993"/>
    <w:rsid w:val="00AB63FF"/>
    <w:rsid w:val="00AC3396"/>
    <w:rsid w:val="00AC5028"/>
    <w:rsid w:val="00AD5874"/>
    <w:rsid w:val="00AF1476"/>
    <w:rsid w:val="00AF3475"/>
    <w:rsid w:val="00AF5A79"/>
    <w:rsid w:val="00B06AA9"/>
    <w:rsid w:val="00B1461F"/>
    <w:rsid w:val="00B3497E"/>
    <w:rsid w:val="00B37AB5"/>
    <w:rsid w:val="00B55E8B"/>
    <w:rsid w:val="00B62F1B"/>
    <w:rsid w:val="00B7041D"/>
    <w:rsid w:val="00B74A2D"/>
    <w:rsid w:val="00BA3A0A"/>
    <w:rsid w:val="00BA47C5"/>
    <w:rsid w:val="00BC67C2"/>
    <w:rsid w:val="00BC6B8C"/>
    <w:rsid w:val="00BD13FF"/>
    <w:rsid w:val="00BD746B"/>
    <w:rsid w:val="00BE1B84"/>
    <w:rsid w:val="00BF6F64"/>
    <w:rsid w:val="00C03CAA"/>
    <w:rsid w:val="00C04277"/>
    <w:rsid w:val="00C1024E"/>
    <w:rsid w:val="00C36140"/>
    <w:rsid w:val="00C454B4"/>
    <w:rsid w:val="00C61173"/>
    <w:rsid w:val="00C6392E"/>
    <w:rsid w:val="00C86F95"/>
    <w:rsid w:val="00C87071"/>
    <w:rsid w:val="00C878D2"/>
    <w:rsid w:val="00C94D01"/>
    <w:rsid w:val="00CA1D18"/>
    <w:rsid w:val="00CC03DA"/>
    <w:rsid w:val="00CD070C"/>
    <w:rsid w:val="00CD32DE"/>
    <w:rsid w:val="00CD6252"/>
    <w:rsid w:val="00CE0106"/>
    <w:rsid w:val="00D108CB"/>
    <w:rsid w:val="00D11BCE"/>
    <w:rsid w:val="00D27BE6"/>
    <w:rsid w:val="00D32111"/>
    <w:rsid w:val="00D3640A"/>
    <w:rsid w:val="00D53640"/>
    <w:rsid w:val="00D53CCB"/>
    <w:rsid w:val="00D53FD0"/>
    <w:rsid w:val="00D729DE"/>
    <w:rsid w:val="00D77AEB"/>
    <w:rsid w:val="00D86481"/>
    <w:rsid w:val="00DA62AE"/>
    <w:rsid w:val="00DB0401"/>
    <w:rsid w:val="00DB5AF3"/>
    <w:rsid w:val="00DB6E71"/>
    <w:rsid w:val="00DC7C11"/>
    <w:rsid w:val="00DD19CB"/>
    <w:rsid w:val="00DD7C09"/>
    <w:rsid w:val="00DD7C16"/>
    <w:rsid w:val="00DE2755"/>
    <w:rsid w:val="00DF2E21"/>
    <w:rsid w:val="00DF42D8"/>
    <w:rsid w:val="00E17653"/>
    <w:rsid w:val="00E253E3"/>
    <w:rsid w:val="00E4274D"/>
    <w:rsid w:val="00E55E7F"/>
    <w:rsid w:val="00E56900"/>
    <w:rsid w:val="00E74550"/>
    <w:rsid w:val="00E76CCB"/>
    <w:rsid w:val="00E8514A"/>
    <w:rsid w:val="00E8695A"/>
    <w:rsid w:val="00E87E9A"/>
    <w:rsid w:val="00EA125F"/>
    <w:rsid w:val="00EB12C8"/>
    <w:rsid w:val="00EB6FCA"/>
    <w:rsid w:val="00EB78D8"/>
    <w:rsid w:val="00EC5213"/>
    <w:rsid w:val="00EE14C2"/>
    <w:rsid w:val="00EF31AB"/>
    <w:rsid w:val="00EF3901"/>
    <w:rsid w:val="00EF478B"/>
    <w:rsid w:val="00F02D47"/>
    <w:rsid w:val="00F20763"/>
    <w:rsid w:val="00F33C79"/>
    <w:rsid w:val="00F5454B"/>
    <w:rsid w:val="00F802C4"/>
    <w:rsid w:val="00F94A54"/>
    <w:rsid w:val="00FA5691"/>
    <w:rsid w:val="00FA7E7D"/>
    <w:rsid w:val="00FB45F3"/>
    <w:rsid w:val="00FF50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D53FD0"/>
    <w:pPr>
      <w:keepNext/>
      <w:outlineLvl w:val="2"/>
    </w:pPr>
    <w:rPr>
      <w:b/>
      <w:sz w:val="24"/>
    </w:rPr>
  </w:style>
  <w:style w:type="paragraph" w:styleId="Heading4">
    <w:name w:val="heading 4"/>
    <w:aliases w:val="Heading D"/>
    <w:basedOn w:val="Normal"/>
    <w:next w:val="Normal"/>
    <w:qFormat/>
    <w:rsid w:val="00D53FD0"/>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D53FD0"/>
    <w:pPr>
      <w:ind w:left="567" w:right="567"/>
    </w:pPr>
  </w:style>
  <w:style w:type="paragraph" w:customStyle="1" w:styleId="HeadingE">
    <w:name w:val="Heading E"/>
    <w:basedOn w:val="Heading1"/>
    <w:rsid w:val="00D53FD0"/>
    <w:pPr>
      <w:jc w:val="left"/>
    </w:pPr>
    <w:rPr>
      <w:rFonts w:ascii="Times New Roman" w:hAnsi="Times New Roman"/>
      <w:b w:val="0"/>
      <w:i/>
      <w:caps/>
      <w:sz w:val="22"/>
    </w:rPr>
  </w:style>
  <w:style w:type="character" w:styleId="CommentReference">
    <w:name w:val="annotation reference"/>
    <w:semiHidden/>
    <w:rsid w:val="00D53FD0"/>
    <w:rPr>
      <w:sz w:val="16"/>
    </w:rPr>
  </w:style>
  <w:style w:type="paragraph" w:styleId="CommentText">
    <w:name w:val="annotation text"/>
    <w:basedOn w:val="Normal"/>
    <w:link w:val="CommentTextChar"/>
    <w:semiHidden/>
    <w:rsid w:val="00D53FD0"/>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D53FD0"/>
    <w:pPr>
      <w:tabs>
        <w:tab w:val="center" w:pos="4153"/>
        <w:tab w:val="right" w:pos="8306"/>
      </w:tabs>
    </w:pPr>
  </w:style>
  <w:style w:type="paragraph" w:styleId="Footer">
    <w:name w:val="footer"/>
    <w:basedOn w:val="Normal"/>
    <w:link w:val="FooterChar"/>
    <w:rsid w:val="00D53FD0"/>
    <w:pPr>
      <w:tabs>
        <w:tab w:val="center" w:pos="4153"/>
        <w:tab w:val="right" w:pos="8306"/>
      </w:tabs>
    </w:pPr>
  </w:style>
  <w:style w:type="character" w:styleId="PageNumber">
    <w:name w:val="page number"/>
    <w:basedOn w:val="DefaultParagraphFont"/>
    <w:rsid w:val="00D53FD0"/>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D53FD0"/>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LAMBodyText">
    <w:name w:val="LAM Body Text"/>
    <w:link w:val="LAMBodyTextChar"/>
    <w:rsid w:val="00986C48"/>
    <w:pPr>
      <w:spacing w:before="120"/>
    </w:pPr>
    <w:rPr>
      <w:rFonts w:ascii="Arial" w:hAnsi="Arial"/>
      <w:szCs w:val="24"/>
      <w:lang w:eastAsia="en-US"/>
    </w:rPr>
  </w:style>
  <w:style w:type="character" w:customStyle="1" w:styleId="LAMBodyTextChar">
    <w:name w:val="LAM Body Text Char"/>
    <w:link w:val="LAMBodyText"/>
    <w:rsid w:val="00986C48"/>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LAMBodyText">
    <w:name w:val="LAM Body Text"/>
    <w:link w:val="LAMBodyTextChar"/>
    <w:rsid w:val="00986C48"/>
    <w:pPr>
      <w:spacing w:before="120"/>
    </w:pPr>
    <w:rPr>
      <w:rFonts w:ascii="Arial" w:hAnsi="Arial"/>
      <w:szCs w:val="24"/>
      <w:lang w:eastAsia="en-US"/>
    </w:rPr>
  </w:style>
  <w:style w:type="character" w:customStyle="1" w:styleId="LAMBodyTextChar">
    <w:name w:val="LAM Body Text Char"/>
    <w:link w:val="LAMBodyText"/>
    <w:rsid w:val="00986C4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39C9CA8-0A9F-40D8-ADAF-57AEF1C4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17</TotalTime>
  <Pages>8</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6</cp:revision>
  <cp:lastPrinted>2014-11-24T23:48:00Z</cp:lastPrinted>
  <dcterms:created xsi:type="dcterms:W3CDTF">2015-01-23T03:28:00Z</dcterms:created>
  <dcterms:modified xsi:type="dcterms:W3CDTF">2015-01-27T23:55:00Z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A405950</vt:lpwstr>
  </property>
  <property fmtid="{D5CDD505-2E9C-101B-9397-08002B2CF9AE}" pid="3" name="Objective-Comment">
    <vt:lpwstr/>
  </property>
  <property fmtid="{D5CDD505-2E9C-101B-9397-08002B2CF9AE}" pid="4" name="Objective-CreationStamp">
    <vt:filetime>2014-12-10T23:45:48Z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2015-01-27T23:39:30Z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Society and Culture Chief Assessor's Report</vt:lpwstr>
  </property>
  <property fmtid="{D5CDD505-2E9C-101B-9397-08002B2CF9AE}" pid="14" name="Objective-Version">
    <vt:lpwstr>3.2</vt:lpwstr>
  </property>
  <property fmtid="{D5CDD505-2E9C-101B-9397-08002B2CF9AE}" pid="15" name="Objective-VersionComment">
    <vt:lpwstr/>
  </property>
  <property fmtid="{D5CDD505-2E9C-101B-9397-08002B2CF9AE}" pid="16" name="Objective-VersionNumber">
    <vt:r8>7</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